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B1DF" w14:textId="77777777" w:rsidR="00D52C3B" w:rsidRPr="00CB3ED8" w:rsidRDefault="00D52C3B" w:rsidP="00D52C3B">
      <w:pPr>
        <w:pStyle w:val="Heading1"/>
        <w:framePr w:wrap="notBeside" w:x="1401" w:y="-133"/>
        <w:numPr>
          <w:ilvl w:val="0"/>
          <w:numId w:val="0"/>
        </w:numPr>
        <w:ind w:left="1077" w:hanging="964"/>
      </w:pPr>
      <w:bookmarkStart w:id="0" w:name="_Toc139011818"/>
      <w:bookmarkStart w:id="1" w:name="_Toc122335597"/>
      <w:bookmarkStart w:id="2" w:name="_Hlk124950339"/>
      <w:r w:rsidRPr="00CB3ED8">
        <w:t>Annex I –</w:t>
      </w:r>
      <w:r w:rsidRPr="00D765D7">
        <w:t xml:space="preserve">(Q)SAR </w:t>
      </w:r>
      <w:r>
        <w:t>model</w:t>
      </w:r>
      <w:r w:rsidRPr="00D765D7">
        <w:t xml:space="preserve"> reporting format </w:t>
      </w:r>
      <w:r>
        <w:t>(</w:t>
      </w:r>
      <w:r w:rsidRPr="00CB3ED8">
        <w:t>QMRF) v.2.1</w:t>
      </w:r>
    </w:p>
    <w:bookmarkEnd w:id="0"/>
    <w:bookmarkEnd w:id="1"/>
    <w:bookmarkEnd w:id="2"/>
    <w:p w14:paraId="3B19645D" w14:textId="25D5E2F4" w:rsidR="003D2546" w:rsidRPr="00E57D45" w:rsidRDefault="00E57D45" w:rsidP="003D2546">
      <w:pPr>
        <w:rPr>
          <w:bCs/>
        </w:rPr>
      </w:pPr>
      <w:r>
        <w:t xml:space="preserve">This is an adaptation of an original work by the OECD. The opinions expressed and arguments employed in this adaptation are the sole responsibility of the author(s) of the adaptation and should not be reported as representing the official views of the OECD or of its Member countries. The original source file is </w:t>
      </w:r>
      <w:hyperlink r:id="rId9" w:history="1">
        <w:r>
          <w:rPr>
            <w:rStyle w:val="Hyperlink"/>
          </w:rPr>
          <w:t>https://www.oecd.org/chemicalsafety/risk-assessment/qsar-assessment-framework-annex-1-qsar-model-reporting-format.docx</w:t>
        </w:r>
      </w:hyperlink>
      <w:r>
        <w:t>. This content is not subject to CC BY 4.0.</w:t>
      </w:r>
    </w:p>
    <w:p w14:paraId="4381418E" w14:textId="77777777" w:rsidR="00E57D45" w:rsidRPr="00E57D45" w:rsidRDefault="00E57D45" w:rsidP="003D2546">
      <w:pPr>
        <w:rPr>
          <w:bCs/>
        </w:rPr>
      </w:pPr>
    </w:p>
    <w:tbl>
      <w:tblPr>
        <w:tblStyle w:val="TableGrid"/>
        <w:tblW w:w="9493" w:type="dxa"/>
        <w:tblLook w:val="04A0" w:firstRow="1" w:lastRow="0" w:firstColumn="1" w:lastColumn="0" w:noHBand="0" w:noVBand="1"/>
      </w:tblPr>
      <w:tblGrid>
        <w:gridCol w:w="681"/>
        <w:gridCol w:w="3083"/>
        <w:gridCol w:w="5729"/>
      </w:tblGrid>
      <w:tr w:rsidR="004C229E" w:rsidRPr="002A79CB" w14:paraId="745B1FED" w14:textId="77777777" w:rsidTr="00622583">
        <w:trPr>
          <w:trHeight w:val="585"/>
        </w:trPr>
        <w:tc>
          <w:tcPr>
            <w:tcW w:w="681" w:type="dxa"/>
            <w:shd w:val="clear" w:color="auto" w:fill="EEECE1" w:themeFill="background2"/>
            <w:hideMark/>
          </w:tcPr>
          <w:p w14:paraId="582C1DB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c>
          <w:tcPr>
            <w:tcW w:w="3083" w:type="dxa"/>
            <w:shd w:val="clear" w:color="auto" w:fill="EEECE1" w:themeFill="background2"/>
            <w:hideMark/>
          </w:tcPr>
          <w:p w14:paraId="2F7C34AB"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Element</w:t>
            </w:r>
          </w:p>
        </w:tc>
        <w:tc>
          <w:tcPr>
            <w:tcW w:w="5729" w:type="dxa"/>
            <w:shd w:val="clear" w:color="auto" w:fill="EEECE1" w:themeFill="background2"/>
            <w:hideMark/>
          </w:tcPr>
          <w:p w14:paraId="4AFD596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Explanation</w:t>
            </w:r>
          </w:p>
        </w:tc>
      </w:tr>
      <w:tr w:rsidR="004C229E" w:rsidRPr="002A79CB" w14:paraId="6DC2A89A" w14:textId="77777777" w:rsidTr="00622583">
        <w:trPr>
          <w:trHeight w:val="315"/>
        </w:trPr>
        <w:tc>
          <w:tcPr>
            <w:tcW w:w="681" w:type="dxa"/>
            <w:shd w:val="clear" w:color="auto" w:fill="EEECE1" w:themeFill="background2"/>
            <w:hideMark/>
          </w:tcPr>
          <w:p w14:paraId="66E4B5B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1.</w:t>
            </w:r>
          </w:p>
        </w:tc>
        <w:tc>
          <w:tcPr>
            <w:tcW w:w="3083" w:type="dxa"/>
            <w:shd w:val="clear" w:color="auto" w:fill="EEECE1" w:themeFill="background2"/>
            <w:hideMark/>
          </w:tcPr>
          <w:p w14:paraId="6F1B250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QSAR identifier</w:t>
            </w:r>
          </w:p>
        </w:tc>
        <w:tc>
          <w:tcPr>
            <w:tcW w:w="5729" w:type="dxa"/>
            <w:shd w:val="clear" w:color="auto" w:fill="EEECE1" w:themeFill="background2"/>
            <w:hideMark/>
          </w:tcPr>
          <w:p w14:paraId="7F68AD06"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4C229E" w:rsidRPr="002A79CB" w14:paraId="7725F59F" w14:textId="77777777" w:rsidTr="00AB27F1">
        <w:trPr>
          <w:trHeight w:val="645"/>
        </w:trPr>
        <w:tc>
          <w:tcPr>
            <w:tcW w:w="681" w:type="dxa"/>
            <w:hideMark/>
          </w:tcPr>
          <w:p w14:paraId="5FCB0BA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1.1.</w:t>
            </w:r>
          </w:p>
        </w:tc>
        <w:tc>
          <w:tcPr>
            <w:tcW w:w="3083" w:type="dxa"/>
            <w:hideMark/>
          </w:tcPr>
          <w:p w14:paraId="0B8B4C0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QSAR identifier (title)</w:t>
            </w:r>
          </w:p>
        </w:tc>
        <w:tc>
          <w:tcPr>
            <w:tcW w:w="5729" w:type="dxa"/>
            <w:hideMark/>
          </w:tcPr>
          <w:p w14:paraId="79EF94A2" w14:textId="680E62B9" w:rsidR="003D2546" w:rsidRPr="00FC4482" w:rsidRDefault="00AB27F1" w:rsidP="00DD4E1B">
            <w:pPr>
              <w:rPr>
                <w:rFonts w:asciiTheme="majorHAnsi" w:hAnsiTheme="majorHAnsi"/>
                <w:color w:val="FF0000"/>
                <w:sz w:val="20"/>
                <w:szCs w:val="20"/>
              </w:rPr>
            </w:pPr>
            <w:r w:rsidRPr="00AB27F1">
              <w:rPr>
                <w:rFonts w:asciiTheme="majorHAnsi" w:hAnsiTheme="majorHAnsi"/>
                <w:sz w:val="20"/>
                <w:szCs w:val="20"/>
              </w:rPr>
              <w:t>Read-across model for the prediction of zeta-potential of metal and metal-oxide nanomaterials (NMs) in aqueous environments.</w:t>
            </w:r>
          </w:p>
        </w:tc>
      </w:tr>
      <w:tr w:rsidR="004C229E" w:rsidRPr="002A79CB" w14:paraId="777815AF" w14:textId="77777777" w:rsidTr="003833FF">
        <w:trPr>
          <w:trHeight w:val="686"/>
        </w:trPr>
        <w:tc>
          <w:tcPr>
            <w:tcW w:w="681" w:type="dxa"/>
            <w:hideMark/>
          </w:tcPr>
          <w:p w14:paraId="064CCED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1.2</w:t>
            </w:r>
          </w:p>
        </w:tc>
        <w:tc>
          <w:tcPr>
            <w:tcW w:w="3083" w:type="dxa"/>
            <w:hideMark/>
          </w:tcPr>
          <w:p w14:paraId="4BA724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related models</w:t>
            </w:r>
          </w:p>
        </w:tc>
        <w:tc>
          <w:tcPr>
            <w:tcW w:w="5729" w:type="dxa"/>
            <w:hideMark/>
          </w:tcPr>
          <w:p w14:paraId="662012A4" w14:textId="159A8260" w:rsidR="003D2546" w:rsidRPr="00FC4482" w:rsidRDefault="00E82011" w:rsidP="00E82011">
            <w:pPr>
              <w:jc w:val="left"/>
              <w:rPr>
                <w:rFonts w:asciiTheme="majorHAnsi" w:hAnsiTheme="majorHAnsi"/>
                <w:color w:val="FF0000"/>
                <w:sz w:val="20"/>
                <w:szCs w:val="20"/>
              </w:rPr>
            </w:pPr>
            <w:r w:rsidRPr="00E82011">
              <w:rPr>
                <w:rFonts w:asciiTheme="majorHAnsi" w:hAnsiTheme="majorHAnsi"/>
                <w:sz w:val="20"/>
                <w:szCs w:val="20"/>
              </w:rPr>
              <w:t xml:space="preserve">MS³bD Zeta Potential Predictive </w:t>
            </w:r>
            <w:proofErr w:type="spellStart"/>
            <w:r w:rsidRPr="00E82011">
              <w:rPr>
                <w:rFonts w:asciiTheme="majorHAnsi" w:hAnsiTheme="majorHAnsi"/>
                <w:sz w:val="20"/>
                <w:szCs w:val="20"/>
              </w:rPr>
              <w:t>Μodel</w:t>
            </w:r>
            <w:proofErr w:type="spellEnd"/>
            <w:r w:rsidRPr="00E82011">
              <w:rPr>
                <w:rFonts w:asciiTheme="majorHAnsi" w:hAnsiTheme="majorHAnsi"/>
                <w:sz w:val="20"/>
                <w:szCs w:val="20"/>
              </w:rPr>
              <w:t xml:space="preserve"> (</w:t>
            </w:r>
            <w:hyperlink r:id="rId10" w:history="1">
              <w:r w:rsidRPr="00E42470">
                <w:rPr>
                  <w:rStyle w:val="Hyperlink"/>
                  <w:rFonts w:asciiTheme="majorHAnsi" w:hAnsiTheme="majorHAnsi"/>
                  <w:sz w:val="20"/>
                  <w:szCs w:val="20"/>
                </w:rPr>
                <w:t>https://mszeta.cloud.nanosolveit.eu/</w:t>
              </w:r>
            </w:hyperlink>
            <w:r w:rsidRPr="00E82011">
              <w:rPr>
                <w:rFonts w:asciiTheme="majorHAnsi" w:hAnsiTheme="majorHAnsi"/>
                <w:sz w:val="20"/>
                <w:szCs w:val="20"/>
              </w:rPr>
              <w:t>)</w:t>
            </w:r>
          </w:p>
        </w:tc>
      </w:tr>
      <w:tr w:rsidR="004C229E" w:rsidRPr="002A79CB" w14:paraId="44B5E2C4" w14:textId="77777777" w:rsidTr="007C1CC5">
        <w:trPr>
          <w:trHeight w:val="584"/>
        </w:trPr>
        <w:tc>
          <w:tcPr>
            <w:tcW w:w="681" w:type="dxa"/>
            <w:hideMark/>
          </w:tcPr>
          <w:p w14:paraId="54E4E14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1.3.</w:t>
            </w:r>
          </w:p>
        </w:tc>
        <w:tc>
          <w:tcPr>
            <w:tcW w:w="3083" w:type="dxa"/>
            <w:hideMark/>
          </w:tcPr>
          <w:p w14:paraId="6BA3EAD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coding the model</w:t>
            </w:r>
          </w:p>
        </w:tc>
        <w:tc>
          <w:tcPr>
            <w:tcW w:w="5729" w:type="dxa"/>
            <w:hideMark/>
          </w:tcPr>
          <w:p w14:paraId="2ED88D6A" w14:textId="7119D2AF" w:rsidR="003D2546" w:rsidRPr="002A79CB" w:rsidRDefault="00FC4482" w:rsidP="00DD4E1B">
            <w:pPr>
              <w:rPr>
                <w:rFonts w:asciiTheme="majorHAnsi" w:hAnsiTheme="majorHAnsi"/>
                <w:sz w:val="20"/>
                <w:szCs w:val="20"/>
              </w:rPr>
            </w:pPr>
            <w:r>
              <w:rPr>
                <w:rFonts w:asciiTheme="majorHAnsi" w:hAnsiTheme="majorHAnsi"/>
                <w:sz w:val="20"/>
                <w:szCs w:val="20"/>
              </w:rPr>
              <w:t>Isalos Analytics Platform (</w:t>
            </w:r>
            <w:hyperlink r:id="rId11" w:history="1">
              <w:r w:rsidRPr="00522112">
                <w:rPr>
                  <w:rStyle w:val="Hyperlink"/>
                  <w:rFonts w:asciiTheme="majorHAnsi" w:hAnsiTheme="majorHAnsi"/>
                  <w:sz w:val="20"/>
                  <w:szCs w:val="20"/>
                </w:rPr>
                <w:t>https://isalos.novamechanics.com/</w:t>
              </w:r>
            </w:hyperlink>
            <w:r>
              <w:rPr>
                <w:rFonts w:asciiTheme="majorHAnsi" w:hAnsiTheme="majorHAnsi"/>
                <w:sz w:val="20"/>
                <w:szCs w:val="20"/>
              </w:rPr>
              <w:t xml:space="preserve">) </w:t>
            </w:r>
          </w:p>
        </w:tc>
      </w:tr>
      <w:tr w:rsidR="004C229E" w:rsidRPr="002A79CB" w14:paraId="3267C7D9" w14:textId="77777777" w:rsidTr="00622583">
        <w:trPr>
          <w:trHeight w:val="315"/>
        </w:trPr>
        <w:tc>
          <w:tcPr>
            <w:tcW w:w="681" w:type="dxa"/>
            <w:shd w:val="clear" w:color="auto" w:fill="EEECE1" w:themeFill="background2"/>
            <w:hideMark/>
          </w:tcPr>
          <w:p w14:paraId="10C9491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2.</w:t>
            </w:r>
          </w:p>
        </w:tc>
        <w:tc>
          <w:tcPr>
            <w:tcW w:w="3083" w:type="dxa"/>
            <w:shd w:val="clear" w:color="auto" w:fill="EEECE1" w:themeFill="background2"/>
            <w:hideMark/>
          </w:tcPr>
          <w:p w14:paraId="15054FDF"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General information</w:t>
            </w:r>
          </w:p>
        </w:tc>
        <w:tc>
          <w:tcPr>
            <w:tcW w:w="5729" w:type="dxa"/>
            <w:shd w:val="clear" w:color="auto" w:fill="EEECE1" w:themeFill="background2"/>
            <w:hideMark/>
          </w:tcPr>
          <w:p w14:paraId="07D5DC0E"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4C229E" w:rsidRPr="00FC4482" w14:paraId="246F8B8A" w14:textId="77777777" w:rsidTr="00622583">
        <w:trPr>
          <w:trHeight w:val="315"/>
        </w:trPr>
        <w:tc>
          <w:tcPr>
            <w:tcW w:w="681" w:type="dxa"/>
          </w:tcPr>
          <w:p w14:paraId="526AA39A"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2.0</w:t>
            </w:r>
          </w:p>
        </w:tc>
        <w:tc>
          <w:tcPr>
            <w:tcW w:w="3083" w:type="dxa"/>
          </w:tcPr>
          <w:p w14:paraId="601327A1"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Abstract</w:t>
            </w:r>
          </w:p>
        </w:tc>
        <w:tc>
          <w:tcPr>
            <w:tcW w:w="5729" w:type="dxa"/>
          </w:tcPr>
          <w:p w14:paraId="59E43FC7" w14:textId="780459FE" w:rsidR="003D2546" w:rsidRPr="00FC4482" w:rsidRDefault="00D462B3" w:rsidP="00DD4E1B">
            <w:pPr>
              <w:rPr>
                <w:rFonts w:asciiTheme="majorHAnsi" w:hAnsiTheme="majorHAnsi"/>
                <w:color w:val="FF0000"/>
                <w:sz w:val="20"/>
                <w:szCs w:val="20"/>
              </w:rPr>
            </w:pPr>
            <w:r w:rsidRPr="00D462B3">
              <w:rPr>
                <w:rFonts w:asciiTheme="majorHAnsi" w:hAnsiTheme="majorHAnsi"/>
                <w:sz w:val="20"/>
                <w:szCs w:val="20"/>
              </w:rPr>
              <w:t xml:space="preserve">A </w:t>
            </w:r>
            <w:proofErr w:type="spellStart"/>
            <w:r w:rsidRPr="00D462B3">
              <w:rPr>
                <w:rFonts w:asciiTheme="majorHAnsi" w:hAnsiTheme="majorHAnsi"/>
                <w:sz w:val="20"/>
                <w:szCs w:val="20"/>
              </w:rPr>
              <w:t>kNN</w:t>
            </w:r>
            <w:proofErr w:type="spellEnd"/>
            <w:r w:rsidRPr="00D462B3">
              <w:rPr>
                <w:rFonts w:asciiTheme="majorHAnsi" w:hAnsiTheme="majorHAnsi"/>
                <w:sz w:val="20"/>
                <w:szCs w:val="20"/>
              </w:rPr>
              <w:t>/read-across model for the prediction of zeta-potential inorganic NMs in water.</w:t>
            </w:r>
          </w:p>
        </w:tc>
      </w:tr>
      <w:tr w:rsidR="004C229E" w:rsidRPr="00FC4482" w14:paraId="291675BF" w14:textId="77777777" w:rsidTr="0029120F">
        <w:trPr>
          <w:trHeight w:val="374"/>
        </w:trPr>
        <w:tc>
          <w:tcPr>
            <w:tcW w:w="681" w:type="dxa"/>
            <w:hideMark/>
          </w:tcPr>
          <w:p w14:paraId="6648E33B" w14:textId="77777777" w:rsidR="003D2546" w:rsidRPr="00FC4482" w:rsidRDefault="003D2546" w:rsidP="00DD4E1B">
            <w:pPr>
              <w:rPr>
                <w:rFonts w:asciiTheme="majorHAnsi" w:hAnsiTheme="majorHAnsi"/>
                <w:sz w:val="20"/>
                <w:szCs w:val="20"/>
              </w:rPr>
            </w:pPr>
            <w:r w:rsidRPr="00FC4482">
              <w:rPr>
                <w:rFonts w:asciiTheme="majorHAnsi" w:hAnsiTheme="majorHAnsi"/>
                <w:sz w:val="20"/>
                <w:szCs w:val="20"/>
              </w:rPr>
              <w:t>2.1.</w:t>
            </w:r>
          </w:p>
        </w:tc>
        <w:tc>
          <w:tcPr>
            <w:tcW w:w="3083" w:type="dxa"/>
            <w:hideMark/>
          </w:tcPr>
          <w:p w14:paraId="15422DD2" w14:textId="77777777" w:rsidR="003D2546" w:rsidRPr="00FC4482" w:rsidRDefault="003D2546" w:rsidP="00DD4E1B">
            <w:pPr>
              <w:rPr>
                <w:rFonts w:asciiTheme="majorHAnsi" w:hAnsiTheme="majorHAnsi"/>
                <w:sz w:val="20"/>
                <w:szCs w:val="20"/>
              </w:rPr>
            </w:pPr>
            <w:r w:rsidRPr="00FC4482">
              <w:rPr>
                <w:rFonts w:asciiTheme="majorHAnsi" w:hAnsiTheme="majorHAnsi"/>
                <w:sz w:val="20"/>
                <w:szCs w:val="20"/>
              </w:rPr>
              <w:t>Date of QMRF</w:t>
            </w:r>
          </w:p>
        </w:tc>
        <w:tc>
          <w:tcPr>
            <w:tcW w:w="5729" w:type="dxa"/>
            <w:hideMark/>
          </w:tcPr>
          <w:p w14:paraId="26E48D89" w14:textId="66A733E8" w:rsidR="003D2546" w:rsidRPr="00FC4482" w:rsidRDefault="00FC4482" w:rsidP="00DD4E1B">
            <w:pPr>
              <w:rPr>
                <w:rFonts w:asciiTheme="majorHAnsi" w:hAnsiTheme="majorHAnsi"/>
                <w:sz w:val="20"/>
                <w:szCs w:val="20"/>
              </w:rPr>
            </w:pPr>
            <w:r w:rsidRPr="00FC4482">
              <w:rPr>
                <w:rFonts w:asciiTheme="majorHAnsi" w:hAnsiTheme="majorHAnsi"/>
                <w:sz w:val="20"/>
                <w:szCs w:val="20"/>
              </w:rPr>
              <w:t>28 February 2024</w:t>
            </w:r>
          </w:p>
        </w:tc>
      </w:tr>
      <w:tr w:rsidR="004C229E" w:rsidRPr="00CA14D5" w14:paraId="485F6283" w14:textId="77777777" w:rsidTr="0029120F">
        <w:trPr>
          <w:trHeight w:val="408"/>
        </w:trPr>
        <w:tc>
          <w:tcPr>
            <w:tcW w:w="681" w:type="dxa"/>
            <w:hideMark/>
          </w:tcPr>
          <w:p w14:paraId="5DAFE3F8" w14:textId="77777777" w:rsidR="003D2546" w:rsidRPr="00CA14D5" w:rsidRDefault="003D2546" w:rsidP="00DD4E1B">
            <w:pPr>
              <w:rPr>
                <w:rFonts w:asciiTheme="majorHAnsi" w:hAnsiTheme="majorHAnsi"/>
                <w:sz w:val="20"/>
                <w:szCs w:val="20"/>
              </w:rPr>
            </w:pPr>
            <w:r w:rsidRPr="00CA14D5">
              <w:rPr>
                <w:rFonts w:asciiTheme="majorHAnsi" w:hAnsiTheme="majorHAnsi"/>
                <w:sz w:val="20"/>
                <w:szCs w:val="20"/>
              </w:rPr>
              <w:t>2.2.</w:t>
            </w:r>
          </w:p>
        </w:tc>
        <w:tc>
          <w:tcPr>
            <w:tcW w:w="3083" w:type="dxa"/>
            <w:hideMark/>
          </w:tcPr>
          <w:p w14:paraId="3FC99B27" w14:textId="77777777" w:rsidR="003D2546" w:rsidRPr="00CA14D5" w:rsidRDefault="003D2546" w:rsidP="00DD4E1B">
            <w:pPr>
              <w:rPr>
                <w:rFonts w:asciiTheme="majorHAnsi" w:hAnsiTheme="majorHAnsi"/>
                <w:sz w:val="20"/>
                <w:szCs w:val="20"/>
              </w:rPr>
            </w:pPr>
            <w:r w:rsidRPr="00CA14D5">
              <w:rPr>
                <w:rFonts w:asciiTheme="majorHAnsi" w:hAnsiTheme="majorHAnsi"/>
                <w:sz w:val="20"/>
                <w:szCs w:val="20"/>
              </w:rPr>
              <w:t>QMRF author(s) and contact details</w:t>
            </w:r>
          </w:p>
        </w:tc>
        <w:tc>
          <w:tcPr>
            <w:tcW w:w="5729" w:type="dxa"/>
            <w:hideMark/>
          </w:tcPr>
          <w:p w14:paraId="3451FCE3" w14:textId="30F6B8A8" w:rsidR="003D2546" w:rsidRPr="00CA14D5" w:rsidRDefault="00F13AC8" w:rsidP="00DD4E1B">
            <w:pPr>
              <w:rPr>
                <w:rFonts w:asciiTheme="majorHAnsi" w:hAnsiTheme="majorHAnsi"/>
                <w:sz w:val="20"/>
                <w:szCs w:val="20"/>
              </w:rPr>
            </w:pPr>
            <w:r>
              <w:rPr>
                <w:rFonts w:asciiTheme="majorHAnsi" w:hAnsiTheme="majorHAnsi"/>
                <w:sz w:val="20"/>
                <w:szCs w:val="20"/>
              </w:rPr>
              <w:t>NovaMechanics Ltd.</w:t>
            </w:r>
            <w:r w:rsidR="00CA14D5" w:rsidRPr="00CA14D5">
              <w:rPr>
                <w:rFonts w:asciiTheme="majorHAnsi" w:hAnsiTheme="majorHAnsi"/>
                <w:sz w:val="20"/>
                <w:szCs w:val="20"/>
              </w:rPr>
              <w:t xml:space="preserve"> (</w:t>
            </w:r>
            <w:r>
              <w:rPr>
                <w:rFonts w:asciiTheme="majorHAnsi" w:hAnsiTheme="majorHAnsi"/>
                <w:sz w:val="20"/>
                <w:szCs w:val="20"/>
              </w:rPr>
              <w:t>info</w:t>
            </w:r>
            <w:r w:rsidR="00CA14D5" w:rsidRPr="00CA14D5">
              <w:rPr>
                <w:rFonts w:asciiTheme="majorHAnsi" w:hAnsiTheme="majorHAnsi"/>
                <w:sz w:val="20"/>
                <w:szCs w:val="20"/>
              </w:rPr>
              <w:t>@novamechanics.com)</w:t>
            </w:r>
          </w:p>
        </w:tc>
      </w:tr>
      <w:tr w:rsidR="004C229E" w:rsidRPr="00FC4482" w14:paraId="2967FC01" w14:textId="77777777" w:rsidTr="0029120F">
        <w:trPr>
          <w:trHeight w:val="388"/>
        </w:trPr>
        <w:tc>
          <w:tcPr>
            <w:tcW w:w="681" w:type="dxa"/>
            <w:hideMark/>
          </w:tcPr>
          <w:p w14:paraId="0E531176"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2.3.</w:t>
            </w:r>
          </w:p>
        </w:tc>
        <w:tc>
          <w:tcPr>
            <w:tcW w:w="3083" w:type="dxa"/>
            <w:hideMark/>
          </w:tcPr>
          <w:p w14:paraId="23D1957D"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Date of QMRF update(s)</w:t>
            </w:r>
          </w:p>
        </w:tc>
        <w:tc>
          <w:tcPr>
            <w:tcW w:w="5729" w:type="dxa"/>
            <w:hideMark/>
          </w:tcPr>
          <w:p w14:paraId="3A60AA09" w14:textId="51F46524" w:rsidR="003D2546" w:rsidRPr="00FC4482" w:rsidRDefault="005508C5" w:rsidP="00DD4E1B">
            <w:pPr>
              <w:rPr>
                <w:rFonts w:asciiTheme="majorHAnsi" w:hAnsiTheme="majorHAnsi"/>
                <w:color w:val="FF0000"/>
                <w:sz w:val="20"/>
                <w:szCs w:val="20"/>
              </w:rPr>
            </w:pPr>
            <w:r w:rsidRPr="003A63B6">
              <w:rPr>
                <w:rFonts w:asciiTheme="majorHAnsi" w:hAnsiTheme="majorHAnsi"/>
                <w:sz w:val="20"/>
                <w:szCs w:val="20"/>
              </w:rPr>
              <w:t>Not applicable</w:t>
            </w:r>
          </w:p>
        </w:tc>
      </w:tr>
      <w:tr w:rsidR="004C229E" w:rsidRPr="00FC4482" w14:paraId="751F1480" w14:textId="77777777" w:rsidTr="0029120F">
        <w:trPr>
          <w:trHeight w:val="394"/>
        </w:trPr>
        <w:tc>
          <w:tcPr>
            <w:tcW w:w="681" w:type="dxa"/>
            <w:hideMark/>
          </w:tcPr>
          <w:p w14:paraId="153B78F3"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2.4.</w:t>
            </w:r>
          </w:p>
        </w:tc>
        <w:tc>
          <w:tcPr>
            <w:tcW w:w="3083" w:type="dxa"/>
            <w:hideMark/>
          </w:tcPr>
          <w:p w14:paraId="259BB9CD"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QMRF update(s)</w:t>
            </w:r>
          </w:p>
        </w:tc>
        <w:tc>
          <w:tcPr>
            <w:tcW w:w="5729" w:type="dxa"/>
            <w:hideMark/>
          </w:tcPr>
          <w:p w14:paraId="6233B7CD" w14:textId="6BAA2014" w:rsidR="003D2546" w:rsidRPr="00FC4482" w:rsidRDefault="005508C5" w:rsidP="00DD4E1B">
            <w:pPr>
              <w:rPr>
                <w:rFonts w:asciiTheme="majorHAnsi" w:hAnsiTheme="majorHAnsi"/>
                <w:color w:val="FF0000"/>
                <w:sz w:val="20"/>
                <w:szCs w:val="20"/>
              </w:rPr>
            </w:pPr>
            <w:r w:rsidRPr="003A63B6">
              <w:rPr>
                <w:rFonts w:asciiTheme="majorHAnsi" w:hAnsiTheme="majorHAnsi"/>
                <w:sz w:val="20"/>
                <w:szCs w:val="20"/>
              </w:rPr>
              <w:t>Not applicable</w:t>
            </w:r>
          </w:p>
        </w:tc>
      </w:tr>
      <w:tr w:rsidR="00874525" w:rsidRPr="00FC4482" w14:paraId="67E6F437" w14:textId="77777777" w:rsidTr="0029120F">
        <w:trPr>
          <w:trHeight w:val="428"/>
        </w:trPr>
        <w:tc>
          <w:tcPr>
            <w:tcW w:w="681" w:type="dxa"/>
            <w:hideMark/>
          </w:tcPr>
          <w:p w14:paraId="44627B52"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2.5.</w:t>
            </w:r>
          </w:p>
        </w:tc>
        <w:tc>
          <w:tcPr>
            <w:tcW w:w="3083" w:type="dxa"/>
            <w:hideMark/>
          </w:tcPr>
          <w:p w14:paraId="1121C65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Model developer(s) and contact details</w:t>
            </w:r>
          </w:p>
        </w:tc>
        <w:tc>
          <w:tcPr>
            <w:tcW w:w="5729" w:type="dxa"/>
            <w:hideMark/>
          </w:tcPr>
          <w:p w14:paraId="4D53E0F0" w14:textId="5473A63E" w:rsidR="00880608" w:rsidRPr="00880608" w:rsidRDefault="00880608" w:rsidP="00874525">
            <w:pPr>
              <w:rPr>
                <w:rFonts w:asciiTheme="majorHAnsi" w:hAnsiTheme="majorHAnsi"/>
                <w:sz w:val="20"/>
                <w:szCs w:val="20"/>
              </w:rPr>
            </w:pPr>
            <w:r w:rsidRPr="00880608">
              <w:rPr>
                <w:rFonts w:asciiTheme="majorHAnsi" w:hAnsiTheme="majorHAnsi"/>
                <w:sz w:val="20"/>
                <w:szCs w:val="20"/>
              </w:rPr>
              <w:t>Dimitra-Danai Varsou (</w:t>
            </w:r>
            <w:hyperlink r:id="rId12" w:history="1">
              <w:r w:rsidRPr="00880608">
                <w:rPr>
                  <w:rStyle w:val="Hyperlink"/>
                  <w:rFonts w:asciiTheme="majorHAnsi" w:hAnsiTheme="majorHAnsi"/>
                  <w:color w:val="auto"/>
                  <w:sz w:val="20"/>
                  <w:szCs w:val="20"/>
                </w:rPr>
                <w:t>varsou@novamechanics.com</w:t>
              </w:r>
            </w:hyperlink>
            <w:r w:rsidRPr="00880608">
              <w:rPr>
                <w:rFonts w:asciiTheme="majorHAnsi" w:hAnsiTheme="majorHAnsi"/>
                <w:sz w:val="20"/>
                <w:szCs w:val="20"/>
              </w:rPr>
              <w:t>)</w:t>
            </w:r>
          </w:p>
          <w:p w14:paraId="57C2D15E" w14:textId="11CAF43F" w:rsidR="00880608" w:rsidRPr="00FC4482" w:rsidRDefault="00880608" w:rsidP="00874525">
            <w:pPr>
              <w:rPr>
                <w:rFonts w:asciiTheme="majorHAnsi" w:hAnsiTheme="majorHAnsi"/>
                <w:color w:val="FF0000"/>
                <w:sz w:val="20"/>
                <w:szCs w:val="20"/>
              </w:rPr>
            </w:pPr>
            <w:r w:rsidRPr="00880608">
              <w:rPr>
                <w:rFonts w:asciiTheme="majorHAnsi" w:hAnsiTheme="majorHAnsi"/>
                <w:sz w:val="20"/>
                <w:szCs w:val="20"/>
              </w:rPr>
              <w:t>Antreas Afantitis (afantitis@novamechanics.com)</w:t>
            </w:r>
          </w:p>
        </w:tc>
      </w:tr>
      <w:tr w:rsidR="00874525" w:rsidRPr="00FC4482" w14:paraId="339D50A3" w14:textId="77777777" w:rsidTr="00622583">
        <w:trPr>
          <w:trHeight w:val="600"/>
        </w:trPr>
        <w:tc>
          <w:tcPr>
            <w:tcW w:w="681" w:type="dxa"/>
            <w:hideMark/>
          </w:tcPr>
          <w:p w14:paraId="2233BF7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2.6.</w:t>
            </w:r>
          </w:p>
        </w:tc>
        <w:tc>
          <w:tcPr>
            <w:tcW w:w="3083" w:type="dxa"/>
            <w:hideMark/>
          </w:tcPr>
          <w:p w14:paraId="364612A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Date of model development and/or publication</w:t>
            </w:r>
          </w:p>
        </w:tc>
        <w:tc>
          <w:tcPr>
            <w:tcW w:w="5729" w:type="dxa"/>
            <w:hideMark/>
          </w:tcPr>
          <w:p w14:paraId="39455366" w14:textId="0B811783" w:rsidR="00874525" w:rsidRPr="00FC4482" w:rsidRDefault="00874525" w:rsidP="00874525">
            <w:pPr>
              <w:rPr>
                <w:rFonts w:asciiTheme="majorHAnsi" w:hAnsiTheme="majorHAnsi"/>
                <w:color w:val="FF0000"/>
                <w:sz w:val="20"/>
                <w:szCs w:val="20"/>
              </w:rPr>
            </w:pPr>
            <w:r w:rsidRPr="005864A6">
              <w:rPr>
                <w:rFonts w:asciiTheme="majorHAnsi" w:hAnsiTheme="majorHAnsi"/>
                <w:sz w:val="20"/>
                <w:szCs w:val="20"/>
              </w:rPr>
              <w:t>2024</w:t>
            </w:r>
          </w:p>
        </w:tc>
      </w:tr>
      <w:tr w:rsidR="00874525" w:rsidRPr="00FC4482" w14:paraId="08247CDE" w14:textId="77777777" w:rsidTr="002270B3">
        <w:trPr>
          <w:trHeight w:val="593"/>
        </w:trPr>
        <w:tc>
          <w:tcPr>
            <w:tcW w:w="681" w:type="dxa"/>
            <w:hideMark/>
          </w:tcPr>
          <w:p w14:paraId="352B5C3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2.7.</w:t>
            </w:r>
          </w:p>
        </w:tc>
        <w:tc>
          <w:tcPr>
            <w:tcW w:w="3083" w:type="dxa"/>
            <w:hideMark/>
          </w:tcPr>
          <w:p w14:paraId="5B7DDCD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Reference(s) to main scientific papers and/or software package</w:t>
            </w:r>
          </w:p>
        </w:tc>
        <w:tc>
          <w:tcPr>
            <w:tcW w:w="5729" w:type="dxa"/>
            <w:hideMark/>
          </w:tcPr>
          <w:p w14:paraId="068DC753" w14:textId="2310028D" w:rsidR="00874525" w:rsidRPr="00FC4482" w:rsidRDefault="00D462B3" w:rsidP="00874525">
            <w:pPr>
              <w:rPr>
                <w:rFonts w:asciiTheme="majorHAnsi" w:hAnsiTheme="majorHAnsi"/>
                <w:color w:val="FF0000"/>
                <w:sz w:val="20"/>
                <w:szCs w:val="20"/>
              </w:rPr>
            </w:pPr>
            <w:r>
              <w:rPr>
                <w:rFonts w:asciiTheme="majorHAnsi" w:hAnsiTheme="majorHAnsi"/>
                <w:color w:val="FF0000"/>
                <w:sz w:val="20"/>
                <w:szCs w:val="20"/>
              </w:rPr>
              <w:t xml:space="preserve">Pending </w:t>
            </w:r>
            <w:r w:rsidR="00A34EEC">
              <w:rPr>
                <w:rFonts w:asciiTheme="majorHAnsi" w:hAnsiTheme="majorHAnsi"/>
                <w:color w:val="FF0000"/>
                <w:sz w:val="20"/>
                <w:szCs w:val="20"/>
              </w:rPr>
              <w:t>reference.</w:t>
            </w:r>
          </w:p>
        </w:tc>
      </w:tr>
      <w:tr w:rsidR="00874525" w:rsidRPr="00FC4482" w14:paraId="1C9E002D" w14:textId="77777777" w:rsidTr="007C1CC5">
        <w:trPr>
          <w:trHeight w:val="1115"/>
        </w:trPr>
        <w:tc>
          <w:tcPr>
            <w:tcW w:w="681" w:type="dxa"/>
            <w:hideMark/>
          </w:tcPr>
          <w:p w14:paraId="7AD70F9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2.8.</w:t>
            </w:r>
          </w:p>
        </w:tc>
        <w:tc>
          <w:tcPr>
            <w:tcW w:w="3083" w:type="dxa"/>
            <w:hideMark/>
          </w:tcPr>
          <w:p w14:paraId="277DDD8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Availability of information about the model</w:t>
            </w:r>
          </w:p>
        </w:tc>
        <w:tc>
          <w:tcPr>
            <w:tcW w:w="5729" w:type="dxa"/>
            <w:hideMark/>
          </w:tcPr>
          <w:p w14:paraId="18D41E60" w14:textId="6CA853C2" w:rsidR="00874525" w:rsidRPr="007C1CC5" w:rsidRDefault="00874525" w:rsidP="00874525">
            <w:pPr>
              <w:rPr>
                <w:rFonts w:asciiTheme="majorHAnsi" w:hAnsiTheme="majorHAnsi"/>
                <w:sz w:val="20"/>
                <w:szCs w:val="20"/>
              </w:rPr>
            </w:pPr>
            <w:r w:rsidRPr="007C1CC5">
              <w:rPr>
                <w:rFonts w:asciiTheme="majorHAnsi" w:hAnsiTheme="majorHAnsi"/>
                <w:sz w:val="20"/>
                <w:szCs w:val="20"/>
              </w:rPr>
              <w:t>The model is proprietary: the source code is not available; however, the description of the modelling workflow is presented in the original research article and training and test sets are available as supplementary information of the original research article.</w:t>
            </w:r>
          </w:p>
        </w:tc>
      </w:tr>
      <w:tr w:rsidR="00874525" w:rsidRPr="00FC4482" w14:paraId="08227212" w14:textId="77777777" w:rsidTr="00C16E50">
        <w:trPr>
          <w:trHeight w:val="685"/>
        </w:trPr>
        <w:tc>
          <w:tcPr>
            <w:tcW w:w="681" w:type="dxa"/>
            <w:hideMark/>
          </w:tcPr>
          <w:p w14:paraId="747973C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2.9.</w:t>
            </w:r>
          </w:p>
        </w:tc>
        <w:tc>
          <w:tcPr>
            <w:tcW w:w="3083" w:type="dxa"/>
            <w:hideMark/>
          </w:tcPr>
          <w:p w14:paraId="725B39F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Availability of another QMRF for exactly the same model</w:t>
            </w:r>
          </w:p>
        </w:tc>
        <w:tc>
          <w:tcPr>
            <w:tcW w:w="5729" w:type="dxa"/>
            <w:hideMark/>
          </w:tcPr>
          <w:p w14:paraId="30CB73B3" w14:textId="503C888C" w:rsidR="00874525" w:rsidRPr="00FC4482" w:rsidRDefault="00874525" w:rsidP="00874525">
            <w:pPr>
              <w:rPr>
                <w:rFonts w:asciiTheme="majorHAnsi" w:hAnsiTheme="majorHAnsi"/>
                <w:color w:val="FF0000"/>
                <w:sz w:val="20"/>
                <w:szCs w:val="20"/>
              </w:rPr>
            </w:pPr>
            <w:bookmarkStart w:id="3" w:name="_Hlk160018784"/>
            <w:r w:rsidRPr="003A63B6">
              <w:rPr>
                <w:rFonts w:asciiTheme="majorHAnsi" w:hAnsiTheme="majorHAnsi"/>
                <w:sz w:val="20"/>
                <w:szCs w:val="20"/>
              </w:rPr>
              <w:t>Not applicable</w:t>
            </w:r>
            <w:bookmarkEnd w:id="3"/>
          </w:p>
        </w:tc>
      </w:tr>
      <w:tr w:rsidR="00874525" w:rsidRPr="00FC4482" w14:paraId="3CBF0816" w14:textId="77777777" w:rsidTr="003478FA">
        <w:trPr>
          <w:trHeight w:val="2120"/>
        </w:trPr>
        <w:tc>
          <w:tcPr>
            <w:tcW w:w="681" w:type="dxa"/>
            <w:shd w:val="clear" w:color="auto" w:fill="EEECE1" w:themeFill="background2"/>
            <w:hideMark/>
          </w:tcPr>
          <w:p w14:paraId="2C7EE06D"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3</w:t>
            </w:r>
          </w:p>
        </w:tc>
        <w:tc>
          <w:tcPr>
            <w:tcW w:w="3083" w:type="dxa"/>
            <w:shd w:val="clear" w:color="auto" w:fill="EEECE1" w:themeFill="background2"/>
            <w:hideMark/>
          </w:tcPr>
          <w:p w14:paraId="1A747ECE"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the endpoint - OECD Principle 1: “A DEFINED ENDPOINT"</w:t>
            </w:r>
          </w:p>
        </w:tc>
        <w:tc>
          <w:tcPr>
            <w:tcW w:w="5729" w:type="dxa"/>
            <w:shd w:val="clear" w:color="auto" w:fill="EEECE1" w:themeFill="background2"/>
            <w:hideMark/>
          </w:tcPr>
          <w:p w14:paraId="02316A13" w14:textId="5ED43EBE"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 xml:space="preserve">PRINCIPLE 1: “A DEFINED ENDPOINT". ENDPOINT refers to any physicochemical, biological, or environmental property/activity/effect that can be measured and therefore modelled. The intent of PRINCIPLE 1 (a (Q)SAR should be associated with a defined endpoint) is to ensure clarity in the endpoint being predicted by a given model, since a given endpoint could be determined by different experimental protocols and under different experimental conditions. It is therefore important to identify the experimental system and test conditions that is being modelled by the </w:t>
            </w:r>
            <w:r w:rsidR="003478FA">
              <w:rPr>
                <w:rFonts w:asciiTheme="majorHAnsi" w:hAnsiTheme="majorHAnsi"/>
                <w:b/>
                <w:bCs/>
                <w:sz w:val="20"/>
                <w:szCs w:val="20"/>
              </w:rPr>
              <w:t>(</w:t>
            </w:r>
            <w:r w:rsidRPr="004D1C5E">
              <w:rPr>
                <w:rFonts w:asciiTheme="majorHAnsi" w:hAnsiTheme="majorHAnsi"/>
                <w:b/>
                <w:bCs/>
                <w:sz w:val="20"/>
                <w:szCs w:val="20"/>
              </w:rPr>
              <w:t>Q)SAR.</w:t>
            </w:r>
          </w:p>
        </w:tc>
      </w:tr>
      <w:tr w:rsidR="00874525" w:rsidRPr="00A41072" w14:paraId="2AA27907" w14:textId="77777777" w:rsidTr="00F27FD9">
        <w:trPr>
          <w:trHeight w:val="388"/>
        </w:trPr>
        <w:tc>
          <w:tcPr>
            <w:tcW w:w="681" w:type="dxa"/>
            <w:hideMark/>
          </w:tcPr>
          <w:p w14:paraId="07A5FBC8" w14:textId="77777777" w:rsidR="00874525" w:rsidRPr="00A41072" w:rsidRDefault="00874525" w:rsidP="00874525">
            <w:pPr>
              <w:rPr>
                <w:rFonts w:asciiTheme="majorHAnsi" w:hAnsiTheme="majorHAnsi"/>
                <w:sz w:val="20"/>
                <w:szCs w:val="20"/>
              </w:rPr>
            </w:pPr>
            <w:r w:rsidRPr="00A41072">
              <w:rPr>
                <w:rFonts w:asciiTheme="majorHAnsi" w:hAnsiTheme="majorHAnsi"/>
                <w:sz w:val="20"/>
                <w:szCs w:val="20"/>
              </w:rPr>
              <w:t>3.1.</w:t>
            </w:r>
          </w:p>
        </w:tc>
        <w:tc>
          <w:tcPr>
            <w:tcW w:w="3083" w:type="dxa"/>
            <w:hideMark/>
          </w:tcPr>
          <w:p w14:paraId="05B8CC3A" w14:textId="77777777" w:rsidR="00874525" w:rsidRPr="00A41072" w:rsidRDefault="00874525" w:rsidP="00874525">
            <w:pPr>
              <w:rPr>
                <w:rFonts w:asciiTheme="majorHAnsi" w:hAnsiTheme="majorHAnsi"/>
                <w:sz w:val="20"/>
                <w:szCs w:val="20"/>
              </w:rPr>
            </w:pPr>
            <w:r w:rsidRPr="00A41072">
              <w:rPr>
                <w:rFonts w:asciiTheme="majorHAnsi" w:hAnsiTheme="majorHAnsi"/>
                <w:sz w:val="20"/>
                <w:szCs w:val="20"/>
              </w:rPr>
              <w:t>Species</w:t>
            </w:r>
          </w:p>
        </w:tc>
        <w:tc>
          <w:tcPr>
            <w:tcW w:w="5729" w:type="dxa"/>
            <w:hideMark/>
          </w:tcPr>
          <w:p w14:paraId="02AFBAEB" w14:textId="52524CA7" w:rsidR="00874525" w:rsidRPr="00A41072" w:rsidRDefault="00874525" w:rsidP="00874525">
            <w:pPr>
              <w:rPr>
                <w:rFonts w:asciiTheme="majorHAnsi" w:hAnsiTheme="majorHAnsi"/>
                <w:sz w:val="20"/>
                <w:szCs w:val="20"/>
              </w:rPr>
            </w:pPr>
            <w:r w:rsidRPr="00A41072">
              <w:rPr>
                <w:rFonts w:asciiTheme="majorHAnsi" w:hAnsiTheme="majorHAnsi"/>
                <w:sz w:val="20"/>
                <w:szCs w:val="20"/>
              </w:rPr>
              <w:t>Not applicable</w:t>
            </w:r>
          </w:p>
        </w:tc>
      </w:tr>
      <w:tr w:rsidR="00874525" w:rsidRPr="00FC4482" w14:paraId="261BBFEC" w14:textId="77777777" w:rsidTr="00A81224">
        <w:trPr>
          <w:trHeight w:val="386"/>
        </w:trPr>
        <w:tc>
          <w:tcPr>
            <w:tcW w:w="681" w:type="dxa"/>
            <w:hideMark/>
          </w:tcPr>
          <w:p w14:paraId="3609C91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3.2.</w:t>
            </w:r>
          </w:p>
        </w:tc>
        <w:tc>
          <w:tcPr>
            <w:tcW w:w="3083" w:type="dxa"/>
            <w:hideMark/>
          </w:tcPr>
          <w:p w14:paraId="3074C6D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Endpoint</w:t>
            </w:r>
          </w:p>
        </w:tc>
        <w:tc>
          <w:tcPr>
            <w:tcW w:w="5729" w:type="dxa"/>
            <w:hideMark/>
          </w:tcPr>
          <w:p w14:paraId="1B3D9F7A" w14:textId="3240DC2D" w:rsidR="00874525" w:rsidRPr="00FC4482" w:rsidRDefault="00874525" w:rsidP="00874525">
            <w:pPr>
              <w:rPr>
                <w:rFonts w:asciiTheme="majorHAnsi" w:hAnsiTheme="majorHAnsi"/>
                <w:color w:val="FF0000"/>
                <w:sz w:val="20"/>
                <w:szCs w:val="20"/>
              </w:rPr>
            </w:pPr>
            <w:r w:rsidRPr="00A81224">
              <w:rPr>
                <w:rFonts w:asciiTheme="majorHAnsi" w:hAnsiTheme="majorHAnsi"/>
                <w:sz w:val="20"/>
                <w:szCs w:val="20"/>
              </w:rPr>
              <w:t>Zeta potential in aqueous environment (pH=6.5-8.5).</w:t>
            </w:r>
          </w:p>
        </w:tc>
      </w:tr>
      <w:tr w:rsidR="00874525" w:rsidRPr="00FC4482" w14:paraId="29ABC5C8" w14:textId="77777777" w:rsidTr="00C80283">
        <w:trPr>
          <w:trHeight w:val="421"/>
        </w:trPr>
        <w:tc>
          <w:tcPr>
            <w:tcW w:w="681" w:type="dxa"/>
            <w:hideMark/>
          </w:tcPr>
          <w:p w14:paraId="119E87D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3.3</w:t>
            </w:r>
          </w:p>
        </w:tc>
        <w:tc>
          <w:tcPr>
            <w:tcW w:w="3083" w:type="dxa"/>
            <w:hideMark/>
          </w:tcPr>
          <w:p w14:paraId="09CE2B69"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Comment on endpoint</w:t>
            </w:r>
          </w:p>
        </w:tc>
        <w:tc>
          <w:tcPr>
            <w:tcW w:w="5729" w:type="dxa"/>
            <w:hideMark/>
          </w:tcPr>
          <w:p w14:paraId="456408A0" w14:textId="10BE80AA" w:rsidR="00874525" w:rsidRPr="00FC4482" w:rsidRDefault="00874525" w:rsidP="00874525">
            <w:pPr>
              <w:rPr>
                <w:rFonts w:asciiTheme="majorHAnsi" w:hAnsiTheme="majorHAnsi"/>
                <w:color w:val="FF0000"/>
                <w:sz w:val="20"/>
                <w:szCs w:val="20"/>
              </w:rPr>
            </w:pPr>
            <w:r w:rsidRPr="00A41072">
              <w:rPr>
                <w:rFonts w:asciiTheme="majorHAnsi" w:hAnsiTheme="majorHAnsi"/>
                <w:sz w:val="20"/>
                <w:szCs w:val="20"/>
              </w:rPr>
              <w:t>Not applicable</w:t>
            </w:r>
          </w:p>
        </w:tc>
      </w:tr>
      <w:tr w:rsidR="00874525" w:rsidRPr="00FC4482" w14:paraId="44D759B0" w14:textId="77777777" w:rsidTr="00855F22">
        <w:trPr>
          <w:trHeight w:val="377"/>
        </w:trPr>
        <w:tc>
          <w:tcPr>
            <w:tcW w:w="681" w:type="dxa"/>
            <w:hideMark/>
          </w:tcPr>
          <w:p w14:paraId="3DCF5376" w14:textId="77777777" w:rsidR="00874525" w:rsidRPr="002E5F03" w:rsidRDefault="00874525" w:rsidP="00874525">
            <w:pPr>
              <w:rPr>
                <w:rFonts w:asciiTheme="majorHAnsi" w:hAnsiTheme="majorHAnsi"/>
                <w:sz w:val="20"/>
                <w:szCs w:val="20"/>
              </w:rPr>
            </w:pPr>
            <w:r w:rsidRPr="002E5F03">
              <w:rPr>
                <w:rFonts w:asciiTheme="majorHAnsi" w:hAnsiTheme="majorHAnsi"/>
                <w:sz w:val="20"/>
                <w:szCs w:val="20"/>
              </w:rPr>
              <w:t>3.4.</w:t>
            </w:r>
          </w:p>
        </w:tc>
        <w:tc>
          <w:tcPr>
            <w:tcW w:w="3083" w:type="dxa"/>
            <w:hideMark/>
          </w:tcPr>
          <w:p w14:paraId="55C1AC7C" w14:textId="77777777" w:rsidR="00874525" w:rsidRPr="002E5F03" w:rsidRDefault="00874525" w:rsidP="00874525">
            <w:pPr>
              <w:rPr>
                <w:rFonts w:asciiTheme="majorHAnsi" w:hAnsiTheme="majorHAnsi"/>
                <w:sz w:val="20"/>
                <w:szCs w:val="20"/>
              </w:rPr>
            </w:pPr>
            <w:r w:rsidRPr="002E5F03">
              <w:rPr>
                <w:rFonts w:asciiTheme="majorHAnsi" w:hAnsiTheme="majorHAnsi"/>
                <w:sz w:val="20"/>
                <w:szCs w:val="20"/>
              </w:rPr>
              <w:t>Endpoint units</w:t>
            </w:r>
          </w:p>
        </w:tc>
        <w:tc>
          <w:tcPr>
            <w:tcW w:w="5729" w:type="dxa"/>
            <w:hideMark/>
          </w:tcPr>
          <w:p w14:paraId="0202E9FE" w14:textId="2143842C" w:rsidR="00874525" w:rsidRPr="002E5F03" w:rsidRDefault="00874525" w:rsidP="00874525">
            <w:pPr>
              <w:rPr>
                <w:rFonts w:asciiTheme="majorHAnsi" w:hAnsiTheme="majorHAnsi"/>
                <w:sz w:val="20"/>
                <w:szCs w:val="20"/>
              </w:rPr>
            </w:pPr>
            <w:r w:rsidRPr="002E5F03">
              <w:rPr>
                <w:rFonts w:asciiTheme="majorHAnsi" w:hAnsiTheme="majorHAnsi"/>
                <w:sz w:val="20"/>
                <w:szCs w:val="20"/>
              </w:rPr>
              <w:t>Millivolts (mV)</w:t>
            </w:r>
          </w:p>
        </w:tc>
      </w:tr>
      <w:tr w:rsidR="00874525" w:rsidRPr="00FC4482" w14:paraId="017DF6B8" w14:textId="77777777" w:rsidTr="00F13AC8">
        <w:trPr>
          <w:trHeight w:val="526"/>
        </w:trPr>
        <w:tc>
          <w:tcPr>
            <w:tcW w:w="681" w:type="dxa"/>
            <w:hideMark/>
          </w:tcPr>
          <w:p w14:paraId="1498996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3.5.</w:t>
            </w:r>
          </w:p>
        </w:tc>
        <w:tc>
          <w:tcPr>
            <w:tcW w:w="3083" w:type="dxa"/>
            <w:hideMark/>
          </w:tcPr>
          <w:p w14:paraId="3D427E9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Dependent variable</w:t>
            </w:r>
          </w:p>
        </w:tc>
        <w:tc>
          <w:tcPr>
            <w:tcW w:w="5729" w:type="dxa"/>
            <w:hideMark/>
          </w:tcPr>
          <w:p w14:paraId="3AFFC6E4" w14:textId="28A0253A" w:rsidR="00874525" w:rsidRPr="00FC4482" w:rsidRDefault="00874525" w:rsidP="00874525">
            <w:pPr>
              <w:rPr>
                <w:rFonts w:asciiTheme="majorHAnsi" w:hAnsiTheme="majorHAnsi"/>
                <w:color w:val="FF0000"/>
                <w:sz w:val="20"/>
                <w:szCs w:val="20"/>
              </w:rPr>
            </w:pPr>
            <w:r w:rsidRPr="00A41072">
              <w:rPr>
                <w:rFonts w:asciiTheme="majorHAnsi" w:hAnsiTheme="majorHAnsi"/>
                <w:sz w:val="20"/>
                <w:szCs w:val="20"/>
              </w:rPr>
              <w:t>Not applicable</w:t>
            </w:r>
          </w:p>
        </w:tc>
      </w:tr>
      <w:tr w:rsidR="00874525" w:rsidRPr="00FC4482" w14:paraId="1F4F7372" w14:textId="77777777" w:rsidTr="00541D62">
        <w:trPr>
          <w:trHeight w:val="384"/>
        </w:trPr>
        <w:tc>
          <w:tcPr>
            <w:tcW w:w="681" w:type="dxa"/>
            <w:hideMark/>
          </w:tcPr>
          <w:p w14:paraId="586E94C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3.6.</w:t>
            </w:r>
          </w:p>
        </w:tc>
        <w:tc>
          <w:tcPr>
            <w:tcW w:w="3083" w:type="dxa"/>
            <w:hideMark/>
          </w:tcPr>
          <w:p w14:paraId="254FAA3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Experimental protocol</w:t>
            </w:r>
          </w:p>
        </w:tc>
        <w:tc>
          <w:tcPr>
            <w:tcW w:w="5729" w:type="dxa"/>
            <w:hideMark/>
          </w:tcPr>
          <w:p w14:paraId="7C42875A" w14:textId="124B0E57" w:rsidR="00874525" w:rsidRPr="00FC4482" w:rsidRDefault="009D3764" w:rsidP="00874525">
            <w:pPr>
              <w:rPr>
                <w:rFonts w:asciiTheme="majorHAnsi" w:hAnsiTheme="majorHAnsi"/>
                <w:color w:val="FF0000"/>
                <w:sz w:val="20"/>
                <w:szCs w:val="20"/>
              </w:rPr>
            </w:pPr>
            <w:proofErr w:type="spellStart"/>
            <w:r w:rsidRPr="009D3764">
              <w:rPr>
                <w:rFonts w:asciiTheme="majorHAnsi" w:hAnsiTheme="majorHAnsi"/>
                <w:sz w:val="20"/>
                <w:szCs w:val="20"/>
              </w:rPr>
              <w:t>NanoMILE</w:t>
            </w:r>
            <w:proofErr w:type="spellEnd"/>
            <w:r w:rsidRPr="009D3764">
              <w:rPr>
                <w:rFonts w:asciiTheme="majorHAnsi" w:hAnsiTheme="majorHAnsi"/>
                <w:sz w:val="20"/>
                <w:szCs w:val="20"/>
              </w:rPr>
              <w:t xml:space="preserve"> protocol.</w:t>
            </w:r>
          </w:p>
        </w:tc>
      </w:tr>
      <w:tr w:rsidR="00874525" w:rsidRPr="00FC4482" w14:paraId="2D24B5C7" w14:textId="77777777" w:rsidTr="001A10C6">
        <w:trPr>
          <w:trHeight w:val="775"/>
        </w:trPr>
        <w:tc>
          <w:tcPr>
            <w:tcW w:w="681" w:type="dxa"/>
            <w:hideMark/>
          </w:tcPr>
          <w:p w14:paraId="460C97A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3.7.</w:t>
            </w:r>
          </w:p>
        </w:tc>
        <w:tc>
          <w:tcPr>
            <w:tcW w:w="3083" w:type="dxa"/>
            <w:hideMark/>
          </w:tcPr>
          <w:p w14:paraId="6C23E20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Endpoint data quality and variability</w:t>
            </w:r>
          </w:p>
        </w:tc>
        <w:tc>
          <w:tcPr>
            <w:tcW w:w="5729" w:type="dxa"/>
            <w:hideMark/>
          </w:tcPr>
          <w:p w14:paraId="7972333D" w14:textId="6DC5E51F" w:rsidR="00874525" w:rsidRPr="00FC4482" w:rsidRDefault="00052D8E" w:rsidP="00874525">
            <w:pPr>
              <w:rPr>
                <w:rFonts w:asciiTheme="majorHAnsi" w:hAnsiTheme="majorHAnsi"/>
                <w:color w:val="FF0000"/>
                <w:sz w:val="20"/>
                <w:szCs w:val="20"/>
              </w:rPr>
            </w:pPr>
            <w:r w:rsidRPr="00052D8E">
              <w:rPr>
                <w:rFonts w:asciiTheme="majorHAnsi" w:hAnsiTheme="majorHAnsi"/>
                <w:sz w:val="20"/>
                <w:szCs w:val="20"/>
              </w:rPr>
              <w:t xml:space="preserve">The NM physicochemical characterisation data were all generated within the Framework Program 7 (FP7) project </w:t>
            </w:r>
            <w:proofErr w:type="spellStart"/>
            <w:r w:rsidRPr="00052D8E">
              <w:rPr>
                <w:rFonts w:asciiTheme="majorHAnsi" w:hAnsiTheme="majorHAnsi"/>
                <w:sz w:val="20"/>
                <w:szCs w:val="20"/>
              </w:rPr>
              <w:t>NanoMILE</w:t>
            </w:r>
            <w:proofErr w:type="spellEnd"/>
            <w:r w:rsidRPr="00052D8E">
              <w:rPr>
                <w:rFonts w:asciiTheme="majorHAnsi" w:hAnsiTheme="majorHAnsi"/>
                <w:sz w:val="20"/>
                <w:szCs w:val="20"/>
              </w:rPr>
              <w:t>, which minimizes the risk of protocol variation.</w:t>
            </w:r>
          </w:p>
        </w:tc>
      </w:tr>
      <w:tr w:rsidR="00874525" w:rsidRPr="00CA14D5" w14:paraId="2E49F110" w14:textId="77777777" w:rsidTr="00D51056">
        <w:trPr>
          <w:trHeight w:val="1978"/>
        </w:trPr>
        <w:tc>
          <w:tcPr>
            <w:tcW w:w="681" w:type="dxa"/>
            <w:shd w:val="clear" w:color="auto" w:fill="EEECE1" w:themeFill="background2"/>
            <w:hideMark/>
          </w:tcPr>
          <w:p w14:paraId="745E6EA1" w14:textId="77777777" w:rsidR="00874525" w:rsidRPr="00CA14D5" w:rsidRDefault="00874525" w:rsidP="00874525">
            <w:pPr>
              <w:rPr>
                <w:rFonts w:asciiTheme="majorHAnsi" w:hAnsiTheme="majorHAnsi"/>
                <w:b/>
                <w:bCs/>
                <w:sz w:val="20"/>
                <w:szCs w:val="20"/>
              </w:rPr>
            </w:pPr>
            <w:r w:rsidRPr="00CA14D5">
              <w:rPr>
                <w:rFonts w:asciiTheme="majorHAnsi" w:hAnsiTheme="majorHAnsi"/>
                <w:b/>
                <w:bCs/>
                <w:sz w:val="20"/>
                <w:szCs w:val="20"/>
              </w:rPr>
              <w:t>4</w:t>
            </w:r>
          </w:p>
        </w:tc>
        <w:tc>
          <w:tcPr>
            <w:tcW w:w="3083" w:type="dxa"/>
            <w:shd w:val="clear" w:color="auto" w:fill="EEECE1" w:themeFill="background2"/>
            <w:hideMark/>
          </w:tcPr>
          <w:p w14:paraId="65C7006F" w14:textId="77777777" w:rsidR="00874525" w:rsidRPr="00CA14D5" w:rsidRDefault="00874525" w:rsidP="00874525">
            <w:pPr>
              <w:rPr>
                <w:rFonts w:asciiTheme="majorHAnsi" w:hAnsiTheme="majorHAnsi"/>
                <w:b/>
                <w:bCs/>
                <w:sz w:val="20"/>
                <w:szCs w:val="20"/>
              </w:rPr>
            </w:pPr>
            <w:r w:rsidRPr="00CA14D5">
              <w:rPr>
                <w:rFonts w:asciiTheme="majorHAnsi" w:hAnsiTheme="majorHAnsi"/>
                <w:b/>
                <w:bCs/>
                <w:sz w:val="20"/>
                <w:szCs w:val="20"/>
              </w:rPr>
              <w:t>Defining the algorithm - OECD Principle 2 : “AN UNAMBIGUOUS ALGORITHM”</w:t>
            </w:r>
          </w:p>
        </w:tc>
        <w:tc>
          <w:tcPr>
            <w:tcW w:w="5729" w:type="dxa"/>
            <w:shd w:val="clear" w:color="auto" w:fill="EEECE1" w:themeFill="background2"/>
            <w:hideMark/>
          </w:tcPr>
          <w:p w14:paraId="1E689C89" w14:textId="77777777" w:rsidR="00874525" w:rsidRPr="00CA14D5" w:rsidRDefault="00874525" w:rsidP="00874525">
            <w:pPr>
              <w:rPr>
                <w:rFonts w:asciiTheme="majorHAnsi" w:hAnsiTheme="majorHAnsi"/>
                <w:b/>
                <w:bCs/>
                <w:sz w:val="20"/>
                <w:szCs w:val="20"/>
              </w:rPr>
            </w:pPr>
            <w:r w:rsidRPr="00CA14D5">
              <w:rPr>
                <w:rFonts w:asciiTheme="majorHAnsi" w:hAnsiTheme="majorHAnsi"/>
                <w:b/>
                <w:bCs/>
                <w:sz w:val="20"/>
                <w:szCs w:val="20"/>
              </w:rPr>
              <w:t>PRINCIPLE 2: “AN UNAMBIGUOUS ALGORITHM”. The (Q)SAR estimate of an endpoint is the result of applying an ALGORITHM to a set of structural parameters which describe the chemical structure. The intent of PRINCIPLE 2 (a (Q)SAR should be associated with an unambiguous algorithm) is to ensure transparency in the model algorithm that generates predictions of an endpoint from information on chemical structure and/or physicochemical properties. In this context, algorithm refers to any mathematical equation, decision rule or output approach.</w:t>
            </w:r>
          </w:p>
        </w:tc>
      </w:tr>
      <w:tr w:rsidR="00874525" w:rsidRPr="005523F0" w14:paraId="7A62A78B" w14:textId="77777777" w:rsidTr="00D51056">
        <w:trPr>
          <w:trHeight w:val="396"/>
        </w:trPr>
        <w:tc>
          <w:tcPr>
            <w:tcW w:w="681" w:type="dxa"/>
            <w:hideMark/>
          </w:tcPr>
          <w:p w14:paraId="65B1BC9D" w14:textId="77777777" w:rsidR="00874525" w:rsidRPr="005523F0" w:rsidRDefault="00874525" w:rsidP="00874525">
            <w:pPr>
              <w:rPr>
                <w:rFonts w:asciiTheme="majorHAnsi" w:hAnsiTheme="majorHAnsi"/>
                <w:sz w:val="20"/>
                <w:szCs w:val="20"/>
              </w:rPr>
            </w:pPr>
            <w:r w:rsidRPr="005523F0">
              <w:rPr>
                <w:rFonts w:asciiTheme="majorHAnsi" w:hAnsiTheme="majorHAnsi"/>
                <w:sz w:val="20"/>
                <w:szCs w:val="20"/>
              </w:rPr>
              <w:t>4.1.</w:t>
            </w:r>
          </w:p>
        </w:tc>
        <w:tc>
          <w:tcPr>
            <w:tcW w:w="3083" w:type="dxa"/>
            <w:hideMark/>
          </w:tcPr>
          <w:p w14:paraId="6E9DD003" w14:textId="77777777" w:rsidR="00874525" w:rsidRPr="005523F0" w:rsidRDefault="00874525" w:rsidP="00874525">
            <w:pPr>
              <w:rPr>
                <w:rFonts w:asciiTheme="majorHAnsi" w:hAnsiTheme="majorHAnsi"/>
                <w:sz w:val="20"/>
                <w:szCs w:val="20"/>
              </w:rPr>
            </w:pPr>
            <w:r w:rsidRPr="005523F0">
              <w:rPr>
                <w:rFonts w:asciiTheme="majorHAnsi" w:hAnsiTheme="majorHAnsi"/>
                <w:sz w:val="20"/>
                <w:szCs w:val="20"/>
              </w:rPr>
              <w:t>Type of model</w:t>
            </w:r>
          </w:p>
        </w:tc>
        <w:tc>
          <w:tcPr>
            <w:tcW w:w="5729" w:type="dxa"/>
            <w:hideMark/>
          </w:tcPr>
          <w:p w14:paraId="37420265" w14:textId="2EFD0D2D" w:rsidR="00874525" w:rsidRPr="005523F0" w:rsidRDefault="00874525" w:rsidP="00874525">
            <w:pPr>
              <w:rPr>
                <w:rFonts w:asciiTheme="majorHAnsi" w:hAnsiTheme="majorHAnsi"/>
                <w:sz w:val="20"/>
                <w:szCs w:val="20"/>
              </w:rPr>
            </w:pPr>
            <w:r w:rsidRPr="005523F0">
              <w:rPr>
                <w:rFonts w:asciiTheme="majorHAnsi" w:hAnsiTheme="majorHAnsi"/>
                <w:sz w:val="20"/>
                <w:szCs w:val="20"/>
              </w:rPr>
              <w:t>Type of model: Instance based</w:t>
            </w:r>
            <w:r>
              <w:rPr>
                <w:rFonts w:asciiTheme="majorHAnsi" w:hAnsiTheme="majorHAnsi"/>
                <w:sz w:val="20"/>
                <w:szCs w:val="20"/>
              </w:rPr>
              <w:t>/read-across</w:t>
            </w:r>
            <w:r w:rsidRPr="005523F0">
              <w:rPr>
                <w:rFonts w:asciiTheme="majorHAnsi" w:hAnsiTheme="majorHAnsi"/>
                <w:sz w:val="20"/>
                <w:szCs w:val="20"/>
              </w:rPr>
              <w:t>,</w:t>
            </w:r>
            <w:r w:rsidRPr="005523F0">
              <w:rPr>
                <w:rFonts w:asciiTheme="majorHAnsi" w:hAnsiTheme="majorHAnsi"/>
                <w:i/>
                <w:iCs/>
                <w:sz w:val="20"/>
                <w:szCs w:val="20"/>
              </w:rPr>
              <w:t xml:space="preserve"> k</w:t>
            </w:r>
            <w:r w:rsidRPr="005523F0">
              <w:rPr>
                <w:rFonts w:asciiTheme="majorHAnsi" w:hAnsiTheme="majorHAnsi"/>
                <w:sz w:val="20"/>
                <w:szCs w:val="20"/>
              </w:rPr>
              <w:t>-Nearest Neighbours (</w:t>
            </w:r>
            <w:proofErr w:type="spellStart"/>
            <w:r w:rsidRPr="005523F0">
              <w:rPr>
                <w:rFonts w:asciiTheme="majorHAnsi" w:hAnsiTheme="majorHAnsi"/>
                <w:i/>
                <w:iCs/>
                <w:sz w:val="20"/>
                <w:szCs w:val="20"/>
              </w:rPr>
              <w:t>k</w:t>
            </w:r>
            <w:r w:rsidRPr="005523F0">
              <w:rPr>
                <w:rFonts w:asciiTheme="majorHAnsi" w:hAnsiTheme="majorHAnsi"/>
                <w:sz w:val="20"/>
                <w:szCs w:val="20"/>
              </w:rPr>
              <w:t>NN</w:t>
            </w:r>
            <w:proofErr w:type="spellEnd"/>
            <w:r w:rsidRPr="005523F0">
              <w:rPr>
                <w:rFonts w:asciiTheme="majorHAnsi" w:hAnsiTheme="majorHAnsi"/>
                <w:sz w:val="20"/>
                <w:szCs w:val="20"/>
              </w:rPr>
              <w:t>)</w:t>
            </w:r>
          </w:p>
        </w:tc>
      </w:tr>
      <w:tr w:rsidR="00874525" w:rsidRPr="00FC4482" w14:paraId="37F4EBC5" w14:textId="77777777" w:rsidTr="005E683F">
        <w:trPr>
          <w:trHeight w:val="2251"/>
        </w:trPr>
        <w:tc>
          <w:tcPr>
            <w:tcW w:w="681" w:type="dxa"/>
            <w:hideMark/>
          </w:tcPr>
          <w:p w14:paraId="35C26AF2"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4.2.</w:t>
            </w:r>
          </w:p>
        </w:tc>
        <w:tc>
          <w:tcPr>
            <w:tcW w:w="3083" w:type="dxa"/>
            <w:hideMark/>
          </w:tcPr>
          <w:p w14:paraId="7E8D8BA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Explicit algorithm</w:t>
            </w:r>
          </w:p>
        </w:tc>
        <w:tc>
          <w:tcPr>
            <w:tcW w:w="5729" w:type="dxa"/>
            <w:hideMark/>
          </w:tcPr>
          <w:p w14:paraId="46409DDC" w14:textId="0294F697" w:rsidR="00874525" w:rsidRPr="00A37747" w:rsidRDefault="00874525" w:rsidP="00874525">
            <w:pPr>
              <w:rPr>
                <w:rFonts w:asciiTheme="majorHAnsi" w:hAnsiTheme="majorHAnsi"/>
                <w:sz w:val="20"/>
                <w:szCs w:val="20"/>
              </w:rPr>
            </w:pPr>
            <w:r w:rsidRPr="00BA5287">
              <w:rPr>
                <w:rFonts w:asciiTheme="majorHAnsi" w:hAnsiTheme="majorHAnsi"/>
                <w:sz w:val="20"/>
                <w:szCs w:val="20"/>
              </w:rPr>
              <w:t xml:space="preserve">The </w:t>
            </w:r>
            <w:proofErr w:type="spellStart"/>
            <w:r w:rsidRPr="00BA5287">
              <w:rPr>
                <w:rFonts w:asciiTheme="majorHAnsi" w:hAnsiTheme="majorHAnsi"/>
                <w:i/>
                <w:iCs/>
                <w:sz w:val="20"/>
                <w:szCs w:val="20"/>
              </w:rPr>
              <w:t>k</w:t>
            </w:r>
            <w:r w:rsidRPr="00BA5287">
              <w:rPr>
                <w:rFonts w:asciiTheme="majorHAnsi" w:hAnsiTheme="majorHAnsi"/>
                <w:sz w:val="20"/>
                <w:szCs w:val="20"/>
              </w:rPr>
              <w:t>NN</w:t>
            </w:r>
            <w:proofErr w:type="spellEnd"/>
            <w:r w:rsidRPr="00BA5287">
              <w:rPr>
                <w:rFonts w:asciiTheme="majorHAnsi" w:hAnsiTheme="majorHAnsi"/>
                <w:sz w:val="20"/>
                <w:szCs w:val="20"/>
              </w:rPr>
              <w:t xml:space="preserve">/read-across model employs the </w:t>
            </w:r>
            <w:r w:rsidRPr="00BA5287">
              <w:rPr>
                <w:rFonts w:asciiTheme="majorHAnsi" w:hAnsiTheme="majorHAnsi"/>
                <w:i/>
                <w:iCs/>
                <w:sz w:val="20"/>
                <w:szCs w:val="20"/>
              </w:rPr>
              <w:t>k</w:t>
            </w:r>
            <w:r w:rsidRPr="00BA5287">
              <w:rPr>
                <w:rFonts w:asciiTheme="majorHAnsi" w:hAnsiTheme="majorHAnsi"/>
                <w:sz w:val="20"/>
                <w:szCs w:val="20"/>
              </w:rPr>
              <w:t xml:space="preserve">-nearest neighbours approach, an instance-based method that predicts the endpoint of a sample based on its </w:t>
            </w:r>
            <w:r w:rsidRPr="00BA5287">
              <w:rPr>
                <w:rFonts w:asciiTheme="majorHAnsi" w:hAnsiTheme="majorHAnsi"/>
                <w:i/>
                <w:iCs/>
                <w:sz w:val="20"/>
                <w:szCs w:val="20"/>
              </w:rPr>
              <w:t>k</w:t>
            </w:r>
            <w:r w:rsidRPr="00BA5287">
              <w:rPr>
                <w:rFonts w:asciiTheme="majorHAnsi" w:hAnsiTheme="majorHAnsi"/>
                <w:sz w:val="20"/>
                <w:szCs w:val="20"/>
              </w:rPr>
              <w:t xml:space="preserve"> nearest neighbours in the data space. The proximity between samples is measured using Euclidean distance, which is adjusted slightly for categorical descriptor values using a binary value (0 in the case of same class data points or 1, otherwise). The endpoint prediction, in this case the </w:t>
            </w:r>
            <w:r w:rsidRPr="00A37747">
              <w:rPr>
                <w:rFonts w:asciiTheme="majorHAnsi" w:hAnsiTheme="majorHAnsi"/>
                <w:sz w:val="20"/>
                <w:szCs w:val="20"/>
              </w:rPr>
              <w:t>zeta potential</w:t>
            </w:r>
            <w:r w:rsidRPr="00BA5287">
              <w:rPr>
                <w:rFonts w:asciiTheme="majorHAnsi" w:hAnsiTheme="majorHAnsi"/>
                <w:sz w:val="20"/>
                <w:szCs w:val="20"/>
              </w:rPr>
              <w:t xml:space="preserve"> value, is the weighted average of the endpoint values of the </w:t>
            </w:r>
            <w:r w:rsidRPr="00BA5287">
              <w:rPr>
                <w:rFonts w:asciiTheme="majorHAnsi" w:hAnsiTheme="majorHAnsi"/>
                <w:i/>
                <w:iCs/>
                <w:sz w:val="20"/>
                <w:szCs w:val="20"/>
              </w:rPr>
              <w:t>k</w:t>
            </w:r>
            <w:r w:rsidRPr="00BA5287">
              <w:rPr>
                <w:rFonts w:asciiTheme="majorHAnsi" w:hAnsiTheme="majorHAnsi"/>
                <w:sz w:val="20"/>
                <w:szCs w:val="20"/>
              </w:rPr>
              <w:t xml:space="preserve"> closest neighbours, with each neighbour’s weighting factor inversely proportional to its distance from the evaluated sample</w:t>
            </w:r>
            <w:r w:rsidRPr="00BA5287">
              <w:rPr>
                <w:rFonts w:asciiTheme="majorHAnsi" w:hAnsiTheme="majorHAnsi"/>
                <w:sz w:val="20"/>
                <w:szCs w:val="20"/>
              </w:rPr>
              <w:fldChar w:fldCharType="begin" w:fldLock="1"/>
            </w:r>
            <w:r w:rsidRPr="00A37747">
              <w:rPr>
                <w:rFonts w:asciiTheme="majorHAnsi" w:hAnsiTheme="majorHAnsi"/>
                <w:sz w:val="20"/>
                <w:szCs w:val="20"/>
              </w:rPr>
              <w:instrText>ADDIN CSL_CITATION {"citationItems":[{"id":"ITEM-1","itemData":{"DOI":"10.1016/C2009-0-19715-5","ISBN":"9780123748560","ISSN":"14337851","PMID":"11221713","author":[{"dropping-particle":"","family":"Witten Ian H and Frank, Eibe and Hall, Mark A and Pal","given":"Christopher J","non-dropping-particle":"","parse-names":false,"suffix":""}],"edition":"Fourth","id":"ITEM-1","issued":{"date-parts":[["2016"]]},"publisher":"Morgan Kaufmann","title":"Data Mining: Practical Machine Learning Tools and Techniques","type":"book"},"uris":["http://www.mendeley.com/documents/?uuid=6f0b72a8-4285-318b-af6d-0bf67e4937c2"]},{"id":"ITEM-2","itemData":{"DOI":"10.1002/smll.201906588","ISSN":"1613-6810","PMID":"32174008","abstract":"Zeta potential is one of the most critical properties of nanomaterials (NMs) which provides an estimation of the surface charge, and therefore electrostatic stability in medium and, in practical terms, influences the NM's tendency to form agglomerates and to interact with cellular membranes. This paper describes a robust and accurate read</w:instrText>
            </w:r>
            <w:r w:rsidRPr="00A37747">
              <w:rPr>
                <w:rFonts w:ascii="Cambria Math" w:hAnsi="Cambria Math" w:cs="Cambria Math"/>
                <w:sz w:val="20"/>
                <w:szCs w:val="20"/>
              </w:rPr>
              <w:instrText>‐</w:instrText>
            </w:r>
            <w:r w:rsidRPr="00A37747">
              <w:rPr>
                <w:rFonts w:asciiTheme="majorHAnsi" w:hAnsiTheme="majorHAnsi"/>
                <w:sz w:val="20"/>
                <w:szCs w:val="20"/>
              </w:rPr>
              <w:instrText>across model to predict NM zeta potential utilizing as the input data a set of image descriptors derived from transmission electron microscopy (TEM) images of the NMs. The image descriptors are calculated using NanoXtract ( http://enaloscloud.novamechanics.com/EnalosWebApps/NanoXtract/ ), a unique online tool that generates 18 image descriptors from the TEM images, which can then be explored by modeling to identify those most predictive of NM behavior and biological effects. NM TEM images are used to develop a model for prediction of zeta potential based on grouping of the NMs according to their nearest neighbors. The model provides interesting insights regarding the most important similarity features between NMs—in addition to core composition the main elongation emerged, which links to key drivers of NM toxicity such as aspect ratio. Both the NanoXtract image analysis tool and the validated model for zeta potential ( http://enaloscloud.novamechanics.com/EnalosWebApps/ZetaPotential/ ) are freely available online through the Enalos Nanoinformatics platform.","author":[{"dropping-particle":"","family":"Varsou","given":"Dimitra-Danai","non-dropping-particle":"","parse-names":false,"suffix":""},{"dropping-particle":"","family":"Afantitis","given":"Antreas","non-dropping-particle":"","parse-names":false,"suffix":""},{"dropping-particle":"","family":"Tsoumanis","given":"Andreas","non-dropping-particle":"","parse-names":false,"suffix":""},{"dropping-particle":"","family":"Papadiamantis","given":"Anastasios G.","non-dropping-particle":"","parse-names":false,"suffix":""},{"dropping-particle":"","family":"Valsami</w:instrText>
            </w:r>
            <w:r w:rsidRPr="00A37747">
              <w:rPr>
                <w:rFonts w:ascii="Cambria Math" w:hAnsi="Cambria Math" w:cs="Cambria Math"/>
                <w:sz w:val="20"/>
                <w:szCs w:val="20"/>
              </w:rPr>
              <w:instrText>‐</w:instrText>
            </w:r>
            <w:r w:rsidRPr="00A37747">
              <w:rPr>
                <w:rFonts w:asciiTheme="majorHAnsi" w:hAnsiTheme="majorHAnsi"/>
                <w:sz w:val="20"/>
                <w:szCs w:val="20"/>
              </w:rPr>
              <w:instrText>Jones","given":"Eugenia","non-dropping-particle":"","parse-names":false,"suffix":""},{"dropping-particle":"","family":"Lynch","given":"Iseult","non-dropping-particle":"","parse-names":false,"suffix":""},{"dropping-particle":"","family":"Melagraki","given":"Georgia","non-dropping-particle":"","parse-names":false,"suffix":""}],"container-title":"Small","id":"ITEM-2","issue":"21","issued":{"date-parts":[["2020","5","16"]]},"page":"1906588","publisher":"Wiley-VCH Verlag","title":"Zeta</w:instrText>
            </w:r>
            <w:r w:rsidRPr="00A37747">
              <w:rPr>
                <w:rFonts w:ascii="Cambria Math" w:hAnsi="Cambria Math" w:cs="Cambria Math"/>
                <w:sz w:val="20"/>
                <w:szCs w:val="20"/>
              </w:rPr>
              <w:instrText>‐</w:instrText>
            </w:r>
            <w:r w:rsidRPr="00A37747">
              <w:rPr>
                <w:rFonts w:asciiTheme="majorHAnsi" w:hAnsiTheme="majorHAnsi"/>
                <w:sz w:val="20"/>
                <w:szCs w:val="20"/>
              </w:rPr>
              <w:instrText>Potential Read</w:instrText>
            </w:r>
            <w:r w:rsidRPr="00A37747">
              <w:rPr>
                <w:rFonts w:ascii="Cambria Math" w:hAnsi="Cambria Math" w:cs="Cambria Math"/>
                <w:sz w:val="20"/>
                <w:szCs w:val="20"/>
              </w:rPr>
              <w:instrText>‐</w:instrText>
            </w:r>
            <w:r w:rsidRPr="00A37747">
              <w:rPr>
                <w:rFonts w:asciiTheme="majorHAnsi" w:hAnsiTheme="majorHAnsi"/>
                <w:sz w:val="20"/>
                <w:szCs w:val="20"/>
              </w:rPr>
              <w:instrText>Across Model Utilizing Nanodescriptors Extracted via the NanoXtract Image Analysis Tool Available on the Enalos Nanoinformatics Cloud Platform","type":"article-journal","volume":"16"},"uris":["http://www.mendeley.com/documents/?uuid=219ee8ea-ee78-4e75-80a9-11e97ce168b9"]}],"mendeley":{"formattedCitation":"&lt;sup&gt;5,7&lt;/sup&gt;","manualFormatting":"5,","plainTextFormattedCitation":"5,7","previouslyFormattedCitation":"&lt;sup&gt;5,7&lt;/sup&gt;"},"properties":{"noteIndex":0},"schema":"https://github.com/citation-style-language/schema/raw/master/csl-citation.json"}</w:instrText>
            </w:r>
            <w:r w:rsidR="00000000">
              <w:rPr>
                <w:rFonts w:asciiTheme="majorHAnsi" w:hAnsiTheme="majorHAnsi"/>
                <w:sz w:val="20"/>
                <w:szCs w:val="20"/>
              </w:rPr>
              <w:fldChar w:fldCharType="separate"/>
            </w:r>
            <w:r w:rsidRPr="00BA5287">
              <w:rPr>
                <w:rFonts w:asciiTheme="majorHAnsi" w:hAnsiTheme="majorHAnsi"/>
                <w:sz w:val="20"/>
                <w:szCs w:val="20"/>
              </w:rPr>
              <w:fldChar w:fldCharType="end"/>
            </w:r>
            <w:r w:rsidRPr="00BA5287">
              <w:rPr>
                <w:rFonts w:asciiTheme="majorHAnsi" w:hAnsiTheme="majorHAnsi"/>
                <w:sz w:val="20"/>
                <w:szCs w:val="20"/>
              </w:rPr>
              <w:t xml:space="preserve">. </w:t>
            </w:r>
          </w:p>
        </w:tc>
      </w:tr>
      <w:tr w:rsidR="00874525" w:rsidRPr="00FC4482" w14:paraId="35BE55A9" w14:textId="77777777" w:rsidTr="001D6B7A">
        <w:trPr>
          <w:trHeight w:val="1628"/>
        </w:trPr>
        <w:tc>
          <w:tcPr>
            <w:tcW w:w="681" w:type="dxa"/>
            <w:hideMark/>
          </w:tcPr>
          <w:p w14:paraId="4A05BF2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4.3.</w:t>
            </w:r>
          </w:p>
        </w:tc>
        <w:tc>
          <w:tcPr>
            <w:tcW w:w="3083" w:type="dxa"/>
            <w:hideMark/>
          </w:tcPr>
          <w:p w14:paraId="59832C29"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Descriptors in the model</w:t>
            </w:r>
          </w:p>
        </w:tc>
        <w:tc>
          <w:tcPr>
            <w:tcW w:w="5729" w:type="dxa"/>
            <w:hideMark/>
          </w:tcPr>
          <w:p w14:paraId="52597B5E" w14:textId="56896B73" w:rsidR="00874525" w:rsidRPr="00A37747" w:rsidRDefault="00874525" w:rsidP="00874525">
            <w:pPr>
              <w:pStyle w:val="ListParagraph"/>
              <w:numPr>
                <w:ilvl w:val="0"/>
                <w:numId w:val="38"/>
              </w:numPr>
              <w:ind w:left="235" w:hanging="235"/>
              <w:rPr>
                <w:rFonts w:asciiTheme="majorHAnsi" w:hAnsiTheme="majorHAnsi"/>
                <w:sz w:val="20"/>
                <w:szCs w:val="20"/>
              </w:rPr>
            </w:pPr>
            <w:r w:rsidRPr="00A37747">
              <w:rPr>
                <w:rFonts w:asciiTheme="majorHAnsi" w:hAnsiTheme="majorHAnsi"/>
                <w:sz w:val="20"/>
                <w:szCs w:val="20"/>
              </w:rPr>
              <w:t>Equivalent sphere diameter [nm],</w:t>
            </w:r>
          </w:p>
          <w:p w14:paraId="4DDE9D30" w14:textId="70EBEC5F" w:rsidR="00874525" w:rsidRPr="00A37747" w:rsidRDefault="00874525" w:rsidP="00874525">
            <w:pPr>
              <w:pStyle w:val="ListParagraph"/>
              <w:numPr>
                <w:ilvl w:val="0"/>
                <w:numId w:val="38"/>
              </w:numPr>
              <w:ind w:left="235" w:hanging="235"/>
              <w:rPr>
                <w:rFonts w:asciiTheme="majorHAnsi" w:hAnsiTheme="majorHAnsi"/>
                <w:sz w:val="20"/>
                <w:szCs w:val="20"/>
              </w:rPr>
            </w:pPr>
            <w:r w:rsidRPr="00A37747">
              <w:rPr>
                <w:rFonts w:asciiTheme="majorHAnsi" w:hAnsiTheme="majorHAnsi"/>
                <w:sz w:val="20"/>
                <w:szCs w:val="20"/>
              </w:rPr>
              <w:t>Shape group,</w:t>
            </w:r>
          </w:p>
          <w:p w14:paraId="704124AF" w14:textId="25D7F14C" w:rsidR="00874525" w:rsidRPr="00A37747" w:rsidRDefault="00874525" w:rsidP="00874525">
            <w:pPr>
              <w:pStyle w:val="ListParagraph"/>
              <w:numPr>
                <w:ilvl w:val="0"/>
                <w:numId w:val="38"/>
              </w:numPr>
              <w:ind w:left="235" w:hanging="235"/>
              <w:rPr>
                <w:rFonts w:asciiTheme="majorHAnsi" w:hAnsiTheme="majorHAnsi"/>
                <w:sz w:val="20"/>
                <w:szCs w:val="20"/>
              </w:rPr>
            </w:pPr>
            <w:r w:rsidRPr="00A37747">
              <w:rPr>
                <w:rFonts w:asciiTheme="majorHAnsi" w:hAnsiTheme="majorHAnsi"/>
                <w:sz w:val="20"/>
                <w:szCs w:val="20"/>
              </w:rPr>
              <w:t>Coating,</w:t>
            </w:r>
          </w:p>
          <w:p w14:paraId="0E293D25" w14:textId="140A5F6B" w:rsidR="00874525" w:rsidRPr="00A37747" w:rsidRDefault="00874525" w:rsidP="00874525">
            <w:pPr>
              <w:pStyle w:val="ListParagraph"/>
              <w:numPr>
                <w:ilvl w:val="0"/>
                <w:numId w:val="38"/>
              </w:numPr>
              <w:ind w:left="235" w:hanging="235"/>
              <w:rPr>
                <w:rFonts w:asciiTheme="majorHAnsi" w:hAnsiTheme="majorHAnsi"/>
                <w:sz w:val="20"/>
                <w:szCs w:val="20"/>
              </w:rPr>
            </w:pPr>
            <w:r w:rsidRPr="00A37747">
              <w:rPr>
                <w:rFonts w:asciiTheme="majorHAnsi" w:hAnsiTheme="majorHAnsi"/>
                <w:sz w:val="20"/>
                <w:szCs w:val="20"/>
              </w:rPr>
              <w:t>Hydrodynamic diameter (DLS) [nm],</w:t>
            </w:r>
          </w:p>
          <w:p w14:paraId="3C1A9544" w14:textId="51A4ED9C" w:rsidR="00874525" w:rsidRPr="00A37747" w:rsidRDefault="00874525" w:rsidP="00874525">
            <w:pPr>
              <w:pStyle w:val="ListParagraph"/>
              <w:numPr>
                <w:ilvl w:val="0"/>
                <w:numId w:val="38"/>
              </w:numPr>
              <w:ind w:left="235" w:hanging="235"/>
              <w:rPr>
                <w:rFonts w:asciiTheme="majorHAnsi" w:hAnsiTheme="majorHAnsi"/>
                <w:sz w:val="20"/>
                <w:szCs w:val="20"/>
              </w:rPr>
            </w:pPr>
            <w:r w:rsidRPr="00A37747">
              <w:rPr>
                <w:rFonts w:asciiTheme="majorHAnsi" w:hAnsiTheme="majorHAnsi"/>
                <w:sz w:val="20"/>
                <w:szCs w:val="20"/>
              </w:rPr>
              <w:t>Hamaker constant of the NMs calculated in water [x E-20 J],</w:t>
            </w:r>
          </w:p>
          <w:p w14:paraId="1841F771" w14:textId="65E3003F" w:rsidR="00874525" w:rsidRPr="00A37747" w:rsidRDefault="00874525" w:rsidP="00874525">
            <w:pPr>
              <w:pStyle w:val="ListParagraph"/>
              <w:numPr>
                <w:ilvl w:val="0"/>
                <w:numId w:val="38"/>
              </w:numPr>
              <w:ind w:left="235" w:hanging="235"/>
              <w:rPr>
                <w:rFonts w:asciiTheme="majorHAnsi" w:hAnsiTheme="majorHAnsi"/>
                <w:sz w:val="20"/>
                <w:szCs w:val="20"/>
              </w:rPr>
            </w:pPr>
            <w:r w:rsidRPr="00A37747">
              <w:rPr>
                <w:rFonts w:asciiTheme="majorHAnsi" w:hAnsiTheme="majorHAnsi"/>
                <w:sz w:val="20"/>
                <w:szCs w:val="20"/>
              </w:rPr>
              <w:t>Number of oxygen atoms.</w:t>
            </w:r>
          </w:p>
        </w:tc>
      </w:tr>
      <w:tr w:rsidR="00874525" w:rsidRPr="00FC4482" w14:paraId="7CC7A52A" w14:textId="77777777" w:rsidTr="001D6B7A">
        <w:trPr>
          <w:trHeight w:val="2159"/>
        </w:trPr>
        <w:tc>
          <w:tcPr>
            <w:tcW w:w="681" w:type="dxa"/>
            <w:hideMark/>
          </w:tcPr>
          <w:p w14:paraId="61E9034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4.4.</w:t>
            </w:r>
          </w:p>
        </w:tc>
        <w:tc>
          <w:tcPr>
            <w:tcW w:w="3083" w:type="dxa"/>
            <w:hideMark/>
          </w:tcPr>
          <w:p w14:paraId="4330385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Descriptor selection</w:t>
            </w:r>
          </w:p>
        </w:tc>
        <w:tc>
          <w:tcPr>
            <w:tcW w:w="5729" w:type="dxa"/>
            <w:hideMark/>
          </w:tcPr>
          <w:p w14:paraId="2BEEA1F3" w14:textId="6E9A4B6D" w:rsidR="00874525" w:rsidRPr="00FC4482" w:rsidRDefault="007E454A" w:rsidP="007E454A">
            <w:pPr>
              <w:rPr>
                <w:rFonts w:asciiTheme="majorHAnsi" w:hAnsiTheme="majorHAnsi"/>
                <w:color w:val="FF0000"/>
                <w:sz w:val="20"/>
                <w:szCs w:val="20"/>
              </w:rPr>
            </w:pPr>
            <w:r w:rsidRPr="007E454A">
              <w:rPr>
                <w:rFonts w:asciiTheme="majorHAnsi" w:hAnsiTheme="majorHAnsi"/>
                <w:sz w:val="20"/>
                <w:szCs w:val="20"/>
              </w:rPr>
              <w:t>To identify the most relevant parameters, eliminate noise, and avoid overfitting, the</w:t>
            </w:r>
            <w:r w:rsidRPr="007E454A">
              <w:rPr>
                <w:rFonts w:asciiTheme="majorHAnsi" w:hAnsiTheme="majorHAnsi"/>
                <w:i/>
                <w:iCs/>
                <w:sz w:val="20"/>
                <w:szCs w:val="20"/>
              </w:rPr>
              <w:t xml:space="preserve"> </w:t>
            </w:r>
            <w:proofErr w:type="spellStart"/>
            <w:r w:rsidRPr="007E454A">
              <w:rPr>
                <w:rFonts w:asciiTheme="majorHAnsi" w:hAnsiTheme="majorHAnsi"/>
                <w:i/>
                <w:iCs/>
                <w:sz w:val="20"/>
                <w:szCs w:val="20"/>
              </w:rPr>
              <w:t>BestFirst</w:t>
            </w:r>
            <w:proofErr w:type="spellEnd"/>
            <w:r w:rsidRPr="007E454A">
              <w:rPr>
                <w:rFonts w:asciiTheme="majorHAnsi" w:hAnsiTheme="majorHAnsi"/>
                <w:i/>
                <w:iCs/>
                <w:sz w:val="20"/>
                <w:szCs w:val="20"/>
              </w:rPr>
              <w:t xml:space="preserve"> </w:t>
            </w:r>
            <w:r w:rsidRPr="007E454A">
              <w:rPr>
                <w:rFonts w:asciiTheme="majorHAnsi" w:hAnsiTheme="majorHAnsi"/>
                <w:sz w:val="20"/>
                <w:szCs w:val="20"/>
              </w:rPr>
              <w:t>method with the</w:t>
            </w:r>
            <w:r w:rsidRPr="007E454A">
              <w:rPr>
                <w:rFonts w:asciiTheme="majorHAnsi" w:hAnsiTheme="majorHAnsi"/>
                <w:i/>
                <w:iCs/>
                <w:sz w:val="20"/>
                <w:szCs w:val="20"/>
              </w:rPr>
              <w:t xml:space="preserve"> </w:t>
            </w:r>
            <w:proofErr w:type="spellStart"/>
            <w:r w:rsidRPr="007E454A">
              <w:rPr>
                <w:rFonts w:asciiTheme="majorHAnsi" w:hAnsiTheme="majorHAnsi"/>
                <w:i/>
                <w:iCs/>
                <w:sz w:val="20"/>
                <w:szCs w:val="20"/>
              </w:rPr>
              <w:t>CfsSubset</w:t>
            </w:r>
            <w:proofErr w:type="spellEnd"/>
            <w:r w:rsidRPr="007E454A">
              <w:rPr>
                <w:rFonts w:asciiTheme="majorHAnsi" w:hAnsiTheme="majorHAnsi"/>
                <w:sz w:val="20"/>
                <w:szCs w:val="20"/>
              </w:rPr>
              <w:t xml:space="preserve"> evaluator were employed. </w:t>
            </w:r>
            <w:r>
              <w:rPr>
                <w:rFonts w:asciiTheme="majorHAnsi" w:hAnsiTheme="majorHAnsi"/>
                <w:sz w:val="20"/>
                <w:szCs w:val="20"/>
              </w:rPr>
              <w:t xml:space="preserve">The initial pool of descriptors is presented in §4.5. </w:t>
            </w:r>
            <w:r w:rsidRPr="007E454A">
              <w:rPr>
                <w:rFonts w:asciiTheme="majorHAnsi" w:hAnsiTheme="majorHAnsi"/>
                <w:sz w:val="20"/>
                <w:szCs w:val="20"/>
              </w:rPr>
              <w:t>Four descriptors were selected to use in the model: the NMs coating, their equivalent sphere diameter, their hydrodynamic diameter, and the number oxygen atoms present in the core’s chemical formula. To enhance the model’s performance and interpretability, the Hamaker constant of the NMs calculated in water and the shape group were added to the subset of the selected descriptors.</w:t>
            </w:r>
          </w:p>
        </w:tc>
      </w:tr>
      <w:tr w:rsidR="00874525" w:rsidRPr="00FC4482" w14:paraId="26C8A772" w14:textId="77777777" w:rsidTr="00BD55DA">
        <w:trPr>
          <w:trHeight w:val="5906"/>
        </w:trPr>
        <w:tc>
          <w:tcPr>
            <w:tcW w:w="681" w:type="dxa"/>
            <w:hideMark/>
          </w:tcPr>
          <w:p w14:paraId="12183DD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4.5.</w:t>
            </w:r>
          </w:p>
        </w:tc>
        <w:tc>
          <w:tcPr>
            <w:tcW w:w="3083" w:type="dxa"/>
            <w:hideMark/>
          </w:tcPr>
          <w:p w14:paraId="47080A49"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Algorithm and descriptor generation</w:t>
            </w:r>
          </w:p>
        </w:tc>
        <w:tc>
          <w:tcPr>
            <w:tcW w:w="5729" w:type="dxa"/>
            <w:hideMark/>
          </w:tcPr>
          <w:p w14:paraId="068E251D" w14:textId="2C6D0E34" w:rsidR="00874525" w:rsidRPr="0043486B" w:rsidRDefault="00874525" w:rsidP="00874525">
            <w:pPr>
              <w:rPr>
                <w:rFonts w:asciiTheme="majorHAnsi" w:hAnsiTheme="majorHAnsi"/>
                <w:sz w:val="20"/>
                <w:szCs w:val="20"/>
              </w:rPr>
            </w:pPr>
            <w:r w:rsidRPr="0043486B">
              <w:rPr>
                <w:rFonts w:asciiTheme="majorHAnsi" w:hAnsiTheme="majorHAnsi"/>
                <w:sz w:val="20"/>
                <w:szCs w:val="20"/>
              </w:rPr>
              <w:t xml:space="preserve">The physicochemical descriptors were derived by the NMs physicochemical characterization performed under the EU-FP7 </w:t>
            </w:r>
            <w:proofErr w:type="spellStart"/>
            <w:r w:rsidRPr="0043486B">
              <w:rPr>
                <w:rFonts w:asciiTheme="majorHAnsi" w:hAnsiTheme="majorHAnsi"/>
                <w:sz w:val="20"/>
                <w:szCs w:val="20"/>
              </w:rPr>
              <w:t>NanoMILE</w:t>
            </w:r>
            <w:proofErr w:type="spellEnd"/>
            <w:r w:rsidRPr="0043486B">
              <w:rPr>
                <w:rFonts w:asciiTheme="majorHAnsi" w:hAnsiTheme="majorHAnsi"/>
                <w:sz w:val="20"/>
                <w:szCs w:val="20"/>
              </w:rPr>
              <w:t xml:space="preserve"> project and from the available descriptors/properties, four were included in this study due to completeness of the data (absence of data gaps) regarding: the NMs core chemistry, coating, morphology and hydrodynamic size measured using dynamic light scattering (DLS). To enrich the library of the NMs physicochemical properties and increase the amount of available information, the corresponding sphere diameter (the diameter of the sphere with surface area equal to the area of the NM) was calculated, as well as three molecular descriptors commonly used in nanoinformatics studies. These descriptors were chemical formula-related descriptors (the number of metal and oxygen atoms present in the core’s chemical formula, and the molecular weight of the core’s compound). Finally, the Hamaker constants of the ENMs were calculated in vacuum and in water using the </w:t>
            </w:r>
            <w:proofErr w:type="spellStart"/>
            <w:r w:rsidRPr="0043486B">
              <w:rPr>
                <w:rFonts w:asciiTheme="majorHAnsi" w:hAnsiTheme="majorHAnsi"/>
                <w:sz w:val="20"/>
                <w:szCs w:val="20"/>
              </w:rPr>
              <w:t>NanoSolveIT</w:t>
            </w:r>
            <w:proofErr w:type="spellEnd"/>
            <w:r w:rsidRPr="0043486B">
              <w:rPr>
                <w:rFonts w:asciiTheme="majorHAnsi" w:hAnsiTheme="majorHAnsi"/>
                <w:sz w:val="20"/>
                <w:szCs w:val="20"/>
              </w:rPr>
              <w:t xml:space="preserve"> Hamaker tool. These calculations, performed considering spherical and uncoated ENMs, aimed to quantify the attractive (positive values) or repulsive (negative values) interactions between ENMs, leading to agglomeration or aggregation phenomena. In fact, the balance between the Hamaker constant (expressing van der Waals attraction between particles) and the zeta potential values of particles (expressing their electrostatic repulsion) controls the stability of colloidal dispersions according to the DLVO theory. For the computational analysis, the TIP3P force field was employed for water, while the </w:t>
            </w:r>
            <w:proofErr w:type="spellStart"/>
            <w:r w:rsidRPr="0043486B">
              <w:rPr>
                <w:rFonts w:asciiTheme="majorHAnsi" w:hAnsiTheme="majorHAnsi"/>
                <w:sz w:val="20"/>
                <w:szCs w:val="20"/>
              </w:rPr>
              <w:t>Dreiding</w:t>
            </w:r>
            <w:proofErr w:type="spellEnd"/>
            <w:r w:rsidRPr="0043486B">
              <w:rPr>
                <w:rFonts w:asciiTheme="majorHAnsi" w:hAnsiTheme="majorHAnsi"/>
                <w:sz w:val="20"/>
                <w:szCs w:val="20"/>
              </w:rPr>
              <w:t xml:space="preserve"> force field was utilized for the ENMs. In the case of Zr-doped CeO</w:t>
            </w:r>
            <w:r w:rsidRPr="0043486B">
              <w:rPr>
                <w:rFonts w:asciiTheme="majorHAnsi" w:hAnsiTheme="majorHAnsi"/>
                <w:sz w:val="20"/>
                <w:szCs w:val="20"/>
                <w:vertAlign w:val="subscript"/>
              </w:rPr>
              <w:t>2</w:t>
            </w:r>
            <w:r w:rsidRPr="0043486B">
              <w:rPr>
                <w:rFonts w:asciiTheme="majorHAnsi" w:hAnsiTheme="majorHAnsi"/>
                <w:sz w:val="20"/>
                <w:szCs w:val="20"/>
              </w:rPr>
              <w:t xml:space="preserve"> ENMs (Ce</w:t>
            </w:r>
            <w:r w:rsidRPr="0043486B">
              <w:rPr>
                <w:rFonts w:asciiTheme="majorHAnsi" w:hAnsiTheme="majorHAnsi"/>
                <w:sz w:val="20"/>
                <w:szCs w:val="20"/>
                <w:vertAlign w:val="subscript"/>
              </w:rPr>
              <w:t>x</w:t>
            </w:r>
            <w:r w:rsidRPr="0043486B">
              <w:rPr>
                <w:rFonts w:asciiTheme="majorHAnsi" w:hAnsiTheme="majorHAnsi"/>
                <w:sz w:val="20"/>
                <w:szCs w:val="20"/>
              </w:rPr>
              <w:t>Zr</w:t>
            </w:r>
            <w:r w:rsidRPr="0043486B">
              <w:rPr>
                <w:rFonts w:asciiTheme="majorHAnsi" w:hAnsiTheme="majorHAnsi"/>
                <w:sz w:val="20"/>
                <w:szCs w:val="20"/>
                <w:vertAlign w:val="subscript"/>
              </w:rPr>
              <w:t>y</w:t>
            </w:r>
            <w:r w:rsidRPr="0043486B">
              <w:rPr>
                <w:rFonts w:asciiTheme="majorHAnsi" w:hAnsiTheme="majorHAnsi"/>
                <w:sz w:val="20"/>
                <w:szCs w:val="20"/>
              </w:rPr>
              <w:t>O</w:t>
            </w:r>
            <w:r w:rsidRPr="0043486B">
              <w:rPr>
                <w:rFonts w:asciiTheme="majorHAnsi" w:hAnsiTheme="majorHAnsi"/>
                <w:sz w:val="20"/>
                <w:szCs w:val="20"/>
                <w:vertAlign w:val="subscript"/>
              </w:rPr>
              <w:t>2</w:t>
            </w:r>
            <w:r w:rsidRPr="0043486B">
              <w:rPr>
                <w:rFonts w:asciiTheme="majorHAnsi" w:hAnsiTheme="majorHAnsi"/>
                <w:sz w:val="20"/>
                <w:szCs w:val="20"/>
              </w:rPr>
              <w:t>), the same density as for pure CeO</w:t>
            </w:r>
            <w:r w:rsidRPr="0043486B">
              <w:rPr>
                <w:rFonts w:asciiTheme="majorHAnsi" w:hAnsiTheme="majorHAnsi"/>
                <w:sz w:val="20"/>
                <w:szCs w:val="20"/>
                <w:vertAlign w:val="subscript"/>
              </w:rPr>
              <w:t>2</w:t>
            </w:r>
            <w:r w:rsidRPr="0043486B">
              <w:rPr>
                <w:rFonts w:asciiTheme="majorHAnsi" w:hAnsiTheme="majorHAnsi"/>
                <w:sz w:val="20"/>
                <w:szCs w:val="20"/>
              </w:rPr>
              <w:t xml:space="preserve"> ENMs was considered to maintain consistency.</w:t>
            </w:r>
          </w:p>
          <w:p w14:paraId="1A7F756D" w14:textId="2F0B6B2C" w:rsidR="00874525" w:rsidRPr="0043486B" w:rsidRDefault="00874525" w:rsidP="00874525">
            <w:pPr>
              <w:rPr>
                <w:rFonts w:asciiTheme="majorHAnsi" w:hAnsiTheme="majorHAnsi"/>
                <w:sz w:val="20"/>
                <w:szCs w:val="20"/>
              </w:rPr>
            </w:pPr>
          </w:p>
        </w:tc>
      </w:tr>
      <w:tr w:rsidR="00874525" w:rsidRPr="00FC4482" w14:paraId="33C755BA" w14:textId="77777777" w:rsidTr="00D51056">
        <w:trPr>
          <w:trHeight w:val="693"/>
        </w:trPr>
        <w:tc>
          <w:tcPr>
            <w:tcW w:w="681" w:type="dxa"/>
            <w:hideMark/>
          </w:tcPr>
          <w:p w14:paraId="7ACC99E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4.6.</w:t>
            </w:r>
          </w:p>
        </w:tc>
        <w:tc>
          <w:tcPr>
            <w:tcW w:w="3083" w:type="dxa"/>
            <w:hideMark/>
          </w:tcPr>
          <w:p w14:paraId="163821E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Software name and version for descriptor generation</w:t>
            </w:r>
          </w:p>
        </w:tc>
        <w:tc>
          <w:tcPr>
            <w:tcW w:w="5729" w:type="dxa"/>
            <w:hideMark/>
          </w:tcPr>
          <w:p w14:paraId="027A9589" w14:textId="1A345651" w:rsidR="00874525" w:rsidRPr="00FC4482" w:rsidRDefault="00874525" w:rsidP="00874525">
            <w:pPr>
              <w:rPr>
                <w:rFonts w:asciiTheme="majorHAnsi" w:hAnsiTheme="majorHAnsi"/>
                <w:color w:val="FF0000"/>
                <w:sz w:val="20"/>
                <w:szCs w:val="20"/>
              </w:rPr>
            </w:pPr>
            <w:r w:rsidRPr="0018014A">
              <w:rPr>
                <w:rFonts w:asciiTheme="majorHAnsi" w:hAnsiTheme="majorHAnsi"/>
                <w:sz w:val="20"/>
                <w:szCs w:val="20"/>
              </w:rPr>
              <w:t xml:space="preserve">The Hammaker constants were calculated in vacuum and in water using the </w:t>
            </w:r>
            <w:proofErr w:type="spellStart"/>
            <w:r w:rsidRPr="0018014A">
              <w:rPr>
                <w:rFonts w:asciiTheme="majorHAnsi" w:hAnsiTheme="majorHAnsi"/>
                <w:sz w:val="20"/>
                <w:szCs w:val="20"/>
              </w:rPr>
              <w:t>NanoSolveIT</w:t>
            </w:r>
            <w:proofErr w:type="spellEnd"/>
            <w:r w:rsidRPr="0018014A">
              <w:rPr>
                <w:rFonts w:asciiTheme="majorHAnsi" w:hAnsiTheme="majorHAnsi"/>
                <w:sz w:val="20"/>
                <w:szCs w:val="20"/>
              </w:rPr>
              <w:t xml:space="preserve"> Hamaker tool (</w:t>
            </w:r>
            <w:hyperlink r:id="rId13" w:history="1">
              <w:r>
                <w:rPr>
                  <w:rStyle w:val="Hyperlink"/>
                  <w:rFonts w:asciiTheme="majorHAnsi" w:hAnsiTheme="majorHAnsi"/>
                  <w:sz w:val="20"/>
                  <w:szCs w:val="20"/>
                </w:rPr>
                <w:t>https://hamaker.cloud.nanosolveit.eu/</w:t>
              </w:r>
            </w:hyperlink>
            <w:r w:rsidRPr="0018014A">
              <w:rPr>
                <w:rFonts w:asciiTheme="majorHAnsi" w:hAnsiTheme="majorHAnsi"/>
                <w:sz w:val="20"/>
                <w:szCs w:val="20"/>
              </w:rPr>
              <w:t>).</w:t>
            </w:r>
          </w:p>
        </w:tc>
      </w:tr>
      <w:tr w:rsidR="00874525" w:rsidRPr="00FC4482" w14:paraId="295BCDEE" w14:textId="77777777" w:rsidTr="00405492">
        <w:trPr>
          <w:trHeight w:val="537"/>
        </w:trPr>
        <w:tc>
          <w:tcPr>
            <w:tcW w:w="681" w:type="dxa"/>
            <w:hideMark/>
          </w:tcPr>
          <w:p w14:paraId="013099D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4.7.</w:t>
            </w:r>
          </w:p>
        </w:tc>
        <w:tc>
          <w:tcPr>
            <w:tcW w:w="3083" w:type="dxa"/>
            <w:hideMark/>
          </w:tcPr>
          <w:p w14:paraId="408997D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Chemicals/Descriptors ratio</w:t>
            </w:r>
          </w:p>
        </w:tc>
        <w:tc>
          <w:tcPr>
            <w:tcW w:w="5729" w:type="dxa"/>
            <w:hideMark/>
          </w:tcPr>
          <w:p w14:paraId="7993777C" w14:textId="1446EC89" w:rsidR="00874525" w:rsidRPr="00FC4482" w:rsidRDefault="00874525" w:rsidP="00874525">
            <w:pPr>
              <w:rPr>
                <w:rFonts w:asciiTheme="majorHAnsi" w:hAnsiTheme="majorHAnsi"/>
                <w:color w:val="FF0000"/>
                <w:sz w:val="20"/>
                <w:szCs w:val="20"/>
              </w:rPr>
            </w:pPr>
            <w:r w:rsidRPr="0000129A">
              <w:rPr>
                <w:rFonts w:asciiTheme="majorHAnsi" w:hAnsiTheme="majorHAnsi"/>
                <w:sz w:val="20"/>
                <w:szCs w:val="20"/>
              </w:rPr>
              <w:t>53 training NMs/ 6 descriptors.</w:t>
            </w:r>
          </w:p>
        </w:tc>
      </w:tr>
      <w:tr w:rsidR="00874525" w:rsidRPr="00FC4482" w14:paraId="2F98FE83" w14:textId="77777777" w:rsidTr="00622583">
        <w:trPr>
          <w:trHeight w:val="3383"/>
        </w:trPr>
        <w:tc>
          <w:tcPr>
            <w:tcW w:w="681" w:type="dxa"/>
            <w:shd w:val="clear" w:color="auto" w:fill="EEECE1" w:themeFill="background2"/>
            <w:hideMark/>
          </w:tcPr>
          <w:p w14:paraId="41F7DCEE"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5</w:t>
            </w:r>
          </w:p>
        </w:tc>
        <w:tc>
          <w:tcPr>
            <w:tcW w:w="3083" w:type="dxa"/>
            <w:shd w:val="clear" w:color="auto" w:fill="EEECE1" w:themeFill="background2"/>
            <w:hideMark/>
          </w:tcPr>
          <w:p w14:paraId="5CE37C83"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the applicability domain - OECD Principle 3: “A DEFINED DOMAIN OF APPLICABILITY”</w:t>
            </w:r>
          </w:p>
        </w:tc>
        <w:tc>
          <w:tcPr>
            <w:tcW w:w="5729" w:type="dxa"/>
            <w:shd w:val="clear" w:color="auto" w:fill="EEECE1" w:themeFill="background2"/>
            <w:hideMark/>
          </w:tcPr>
          <w:p w14:paraId="1E2C9691"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3: “A DEFINED DOMAIN OF APPLICABILITY”. APPLICABILITY DOMAIN refers to the response and chemical structure space in which the model makes predictions with a given reliability. Ideally the applicability domain should express the structural, physicochemical and response space of the model. The CHEMICAL STRUCTURE (x variable) space can be expressed by information on physicochemical properties and/or structural fragments. The RESPONSE (y variable) can be any physicochemical, biological or environmental effect that is being predicted. According to PRINCIPLE 3 a (Q)SAR should be associated with a defined domain of applicability. Section 5 can be repeated (e.g., 5.a, 5.b, 5.c, etc) as many times as necessary if more than one method has been used to assess the applicability domain.</w:t>
            </w:r>
          </w:p>
        </w:tc>
      </w:tr>
      <w:tr w:rsidR="00874525" w:rsidRPr="00FC4482" w14:paraId="55C52B75" w14:textId="77777777" w:rsidTr="005C5699">
        <w:trPr>
          <w:trHeight w:val="975"/>
        </w:trPr>
        <w:tc>
          <w:tcPr>
            <w:tcW w:w="681" w:type="dxa"/>
            <w:hideMark/>
          </w:tcPr>
          <w:p w14:paraId="1B68A62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5.1.</w:t>
            </w:r>
          </w:p>
        </w:tc>
        <w:tc>
          <w:tcPr>
            <w:tcW w:w="3083" w:type="dxa"/>
            <w:hideMark/>
          </w:tcPr>
          <w:p w14:paraId="18BB19B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Description of the applicability domain of the model</w:t>
            </w:r>
          </w:p>
        </w:tc>
        <w:tc>
          <w:tcPr>
            <w:tcW w:w="5729" w:type="dxa"/>
            <w:hideMark/>
          </w:tcPr>
          <w:p w14:paraId="2D69FABF" w14:textId="476FF9F9" w:rsidR="00874525" w:rsidRPr="00ED0E9E" w:rsidRDefault="00874525" w:rsidP="00874525">
            <w:pPr>
              <w:rPr>
                <w:rFonts w:asciiTheme="majorHAnsi" w:hAnsiTheme="majorHAnsi"/>
                <w:color w:val="FF0000"/>
                <w:sz w:val="20"/>
                <w:szCs w:val="20"/>
              </w:rPr>
            </w:pPr>
            <w:r w:rsidRPr="00ED0E9E">
              <w:rPr>
                <w:rFonts w:asciiTheme="majorHAnsi" w:hAnsiTheme="majorHAnsi"/>
                <w:sz w:val="20"/>
                <w:szCs w:val="20"/>
              </w:rPr>
              <w:t>The applicability domain was defined based on the leverage method. The necessary calculations were performed based on the numerical descriptors of the train set.</w:t>
            </w:r>
          </w:p>
        </w:tc>
      </w:tr>
      <w:tr w:rsidR="00874525" w:rsidRPr="00FC4482" w14:paraId="01865A99" w14:textId="77777777" w:rsidTr="00BD55DA">
        <w:trPr>
          <w:trHeight w:val="1567"/>
        </w:trPr>
        <w:tc>
          <w:tcPr>
            <w:tcW w:w="681" w:type="dxa"/>
            <w:hideMark/>
          </w:tcPr>
          <w:p w14:paraId="0820F894"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5.2.</w:t>
            </w:r>
          </w:p>
        </w:tc>
        <w:tc>
          <w:tcPr>
            <w:tcW w:w="3083" w:type="dxa"/>
            <w:hideMark/>
          </w:tcPr>
          <w:p w14:paraId="73ED0DC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Method used to assess the applicability domain</w:t>
            </w:r>
          </w:p>
        </w:tc>
        <w:tc>
          <w:tcPr>
            <w:tcW w:w="5729" w:type="dxa"/>
            <w:hideMark/>
          </w:tcPr>
          <w:p w14:paraId="68362DC2" w14:textId="2CC8DCC2" w:rsidR="00874525" w:rsidRPr="00FC4482" w:rsidRDefault="00874525" w:rsidP="00874525">
            <w:pPr>
              <w:rPr>
                <w:rFonts w:asciiTheme="majorHAnsi" w:hAnsiTheme="majorHAnsi"/>
                <w:color w:val="FF0000"/>
                <w:sz w:val="20"/>
                <w:szCs w:val="20"/>
              </w:rPr>
            </w:pPr>
            <w:r w:rsidRPr="001D79CD">
              <w:rPr>
                <w:rFonts w:asciiTheme="majorHAnsi" w:hAnsiTheme="majorHAnsi"/>
                <w:sz w:val="20"/>
                <w:szCs w:val="20"/>
              </w:rPr>
              <w:t>In the leverage method, the leverage values h -which are the diagonal elements of the Hat matrix- reflect the similarity of the validation or untested samples to the training set (distance from the training set’s centroid) based on the descriptor values used in the model development. The limits of the AD are determined by the threshold leverage value h*. The prediction for a validation or untested NP is considered reliable if h&lt;h*.</w:t>
            </w:r>
          </w:p>
        </w:tc>
      </w:tr>
      <w:tr w:rsidR="00874525" w:rsidRPr="00FC4482" w14:paraId="2B9EA5BC" w14:textId="77777777" w:rsidTr="00981A7E">
        <w:trPr>
          <w:trHeight w:val="612"/>
        </w:trPr>
        <w:tc>
          <w:tcPr>
            <w:tcW w:w="681" w:type="dxa"/>
            <w:hideMark/>
          </w:tcPr>
          <w:p w14:paraId="1A4E615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5.3.</w:t>
            </w:r>
          </w:p>
        </w:tc>
        <w:tc>
          <w:tcPr>
            <w:tcW w:w="3083" w:type="dxa"/>
            <w:hideMark/>
          </w:tcPr>
          <w:p w14:paraId="4BFA3F6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Software name and version for applicability domain assessment</w:t>
            </w:r>
          </w:p>
        </w:tc>
        <w:tc>
          <w:tcPr>
            <w:tcW w:w="5729" w:type="dxa"/>
            <w:hideMark/>
          </w:tcPr>
          <w:p w14:paraId="5A5FE345" w14:textId="22CD585B" w:rsidR="00874525" w:rsidRPr="00FC4482" w:rsidRDefault="00874525" w:rsidP="00874525">
            <w:pPr>
              <w:rPr>
                <w:rFonts w:asciiTheme="majorHAnsi" w:hAnsiTheme="majorHAnsi"/>
                <w:color w:val="FF0000"/>
                <w:sz w:val="20"/>
                <w:szCs w:val="20"/>
              </w:rPr>
            </w:pPr>
            <w:r w:rsidRPr="006710A0">
              <w:rPr>
                <w:rFonts w:asciiTheme="majorHAnsi" w:hAnsiTheme="majorHAnsi"/>
                <w:sz w:val="20"/>
                <w:szCs w:val="20"/>
              </w:rPr>
              <w:t>Isalos Analytics Platform, domain-leverage functionality</w:t>
            </w:r>
          </w:p>
        </w:tc>
      </w:tr>
      <w:tr w:rsidR="00874525" w:rsidRPr="00FC4482" w14:paraId="033163C9" w14:textId="77777777" w:rsidTr="00981A7E">
        <w:trPr>
          <w:trHeight w:val="651"/>
        </w:trPr>
        <w:tc>
          <w:tcPr>
            <w:tcW w:w="681" w:type="dxa"/>
            <w:hideMark/>
          </w:tcPr>
          <w:p w14:paraId="0048E4B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5.4.</w:t>
            </w:r>
          </w:p>
        </w:tc>
        <w:tc>
          <w:tcPr>
            <w:tcW w:w="3083" w:type="dxa"/>
            <w:hideMark/>
          </w:tcPr>
          <w:p w14:paraId="077AAB34"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Limits of applicability</w:t>
            </w:r>
          </w:p>
        </w:tc>
        <w:tc>
          <w:tcPr>
            <w:tcW w:w="5729" w:type="dxa"/>
            <w:hideMark/>
          </w:tcPr>
          <w:p w14:paraId="0806AD42" w14:textId="3AF2A506" w:rsidR="00874525" w:rsidRPr="00FC4482" w:rsidRDefault="00874525" w:rsidP="00874525">
            <w:pPr>
              <w:rPr>
                <w:rFonts w:asciiTheme="majorHAnsi" w:hAnsiTheme="majorHAnsi"/>
                <w:color w:val="FF0000"/>
                <w:sz w:val="20"/>
                <w:szCs w:val="20"/>
              </w:rPr>
            </w:pPr>
            <w:r w:rsidRPr="00396DB8">
              <w:rPr>
                <w:rFonts w:asciiTheme="majorHAnsi" w:hAnsiTheme="majorHAnsi"/>
                <w:sz w:val="20"/>
                <w:szCs w:val="20"/>
              </w:rPr>
              <w:t xml:space="preserve">The leverage threshold was calculated based on the training NMs subset and set to 0.226. </w:t>
            </w:r>
          </w:p>
        </w:tc>
      </w:tr>
      <w:tr w:rsidR="00874525" w:rsidRPr="00FC4482" w14:paraId="0ADF9D6B" w14:textId="77777777" w:rsidTr="003478FA">
        <w:trPr>
          <w:trHeight w:val="1536"/>
        </w:trPr>
        <w:tc>
          <w:tcPr>
            <w:tcW w:w="681" w:type="dxa"/>
            <w:shd w:val="clear" w:color="auto" w:fill="EEECE1" w:themeFill="background2"/>
            <w:hideMark/>
          </w:tcPr>
          <w:p w14:paraId="18CDBDB0"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6</w:t>
            </w:r>
          </w:p>
        </w:tc>
        <w:tc>
          <w:tcPr>
            <w:tcW w:w="3083" w:type="dxa"/>
            <w:shd w:val="clear" w:color="auto" w:fill="EEECE1" w:themeFill="background2"/>
            <w:hideMark/>
          </w:tcPr>
          <w:p w14:paraId="27F2C733"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goodness-of-fit and robustness (internal validation) – OECD Principle 4: “APPROPRIATE MEASURES OF GOODNESS-OF-FIT, ROBUSTENESS AND PREDICTIVITY”</w:t>
            </w:r>
          </w:p>
        </w:tc>
        <w:tc>
          <w:tcPr>
            <w:tcW w:w="5729" w:type="dxa"/>
            <w:shd w:val="clear" w:color="auto" w:fill="EEECE1" w:themeFill="background2"/>
            <w:hideMark/>
          </w:tcPr>
          <w:p w14:paraId="27D0A891"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4: “APPROPRIATE MEASURES OF GOODNESS-OF-FIT, ROBUSTENESS AND PREDICTIVITY”. PRINCIPLE 4 expresses the need to perform validation to establish the performance of the model. GOODNESS-OF-FIT and ROBUSTNESS refer to the internal model performance.</w:t>
            </w:r>
          </w:p>
        </w:tc>
      </w:tr>
      <w:tr w:rsidR="00874525" w:rsidRPr="00FC4482" w14:paraId="7AE64AE3" w14:textId="77777777" w:rsidTr="00682005">
        <w:trPr>
          <w:trHeight w:val="710"/>
        </w:trPr>
        <w:tc>
          <w:tcPr>
            <w:tcW w:w="681" w:type="dxa"/>
            <w:hideMark/>
          </w:tcPr>
          <w:p w14:paraId="3FA6C41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6.1.</w:t>
            </w:r>
          </w:p>
        </w:tc>
        <w:tc>
          <w:tcPr>
            <w:tcW w:w="3083" w:type="dxa"/>
            <w:hideMark/>
          </w:tcPr>
          <w:p w14:paraId="7BBCDB3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Availability of the training set</w:t>
            </w:r>
          </w:p>
        </w:tc>
        <w:tc>
          <w:tcPr>
            <w:tcW w:w="5729" w:type="dxa"/>
            <w:hideMark/>
          </w:tcPr>
          <w:p w14:paraId="17322C9D" w14:textId="02BC3CDD" w:rsidR="00874525" w:rsidRPr="00FC4482" w:rsidRDefault="00874525" w:rsidP="00874525">
            <w:pPr>
              <w:rPr>
                <w:rFonts w:asciiTheme="majorHAnsi" w:hAnsiTheme="majorHAnsi"/>
                <w:color w:val="FF0000"/>
                <w:sz w:val="20"/>
                <w:szCs w:val="20"/>
              </w:rPr>
            </w:pPr>
            <w:r w:rsidRPr="00517508">
              <w:rPr>
                <w:rFonts w:asciiTheme="majorHAnsi" w:hAnsiTheme="majorHAnsi"/>
                <w:sz w:val="20"/>
                <w:szCs w:val="20"/>
              </w:rPr>
              <w:t>The training set is available as a supporting information file of the relevant publication.</w:t>
            </w:r>
          </w:p>
        </w:tc>
      </w:tr>
      <w:tr w:rsidR="00874525" w:rsidRPr="00FC4482" w14:paraId="578A0CAA" w14:textId="77777777" w:rsidTr="00670736">
        <w:trPr>
          <w:trHeight w:val="708"/>
        </w:trPr>
        <w:tc>
          <w:tcPr>
            <w:tcW w:w="681" w:type="dxa"/>
            <w:hideMark/>
          </w:tcPr>
          <w:p w14:paraId="6FD3EE1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6.2.</w:t>
            </w:r>
          </w:p>
        </w:tc>
        <w:tc>
          <w:tcPr>
            <w:tcW w:w="3083" w:type="dxa"/>
            <w:hideMark/>
          </w:tcPr>
          <w:p w14:paraId="30619324"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Available information for the training set</w:t>
            </w:r>
          </w:p>
        </w:tc>
        <w:tc>
          <w:tcPr>
            <w:tcW w:w="5729" w:type="dxa"/>
            <w:hideMark/>
          </w:tcPr>
          <w:p w14:paraId="2A569B21" w14:textId="5F97E67D" w:rsidR="00874525" w:rsidRPr="00FC4482" w:rsidRDefault="00682005" w:rsidP="00874525">
            <w:pPr>
              <w:rPr>
                <w:rFonts w:asciiTheme="majorHAnsi" w:hAnsiTheme="majorHAnsi"/>
                <w:color w:val="FF0000"/>
                <w:sz w:val="20"/>
                <w:szCs w:val="20"/>
              </w:rPr>
            </w:pPr>
            <w:r w:rsidRPr="00682005">
              <w:rPr>
                <w:rFonts w:asciiTheme="majorHAnsi" w:hAnsiTheme="majorHAnsi"/>
                <w:sz w:val="20"/>
                <w:szCs w:val="20"/>
              </w:rPr>
              <w:t>NMs dataset including physicochemical characterisation, molecular descriptors and Hamaker constants.</w:t>
            </w:r>
          </w:p>
        </w:tc>
      </w:tr>
      <w:tr w:rsidR="00874525" w:rsidRPr="00FC4482" w14:paraId="68A08109" w14:textId="77777777" w:rsidTr="00400D06">
        <w:trPr>
          <w:trHeight w:val="753"/>
        </w:trPr>
        <w:tc>
          <w:tcPr>
            <w:tcW w:w="681" w:type="dxa"/>
            <w:hideMark/>
          </w:tcPr>
          <w:p w14:paraId="6614C12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6.3.</w:t>
            </w:r>
          </w:p>
        </w:tc>
        <w:tc>
          <w:tcPr>
            <w:tcW w:w="3083" w:type="dxa"/>
            <w:hideMark/>
          </w:tcPr>
          <w:p w14:paraId="4541F3F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each descriptor variable for the training set</w:t>
            </w:r>
          </w:p>
        </w:tc>
        <w:tc>
          <w:tcPr>
            <w:tcW w:w="5729" w:type="dxa"/>
            <w:hideMark/>
          </w:tcPr>
          <w:p w14:paraId="0E3A2B6C" w14:textId="70D8ABA4" w:rsidR="00874525" w:rsidRPr="00FC4482" w:rsidRDefault="00874525" w:rsidP="00874525">
            <w:pPr>
              <w:rPr>
                <w:rFonts w:asciiTheme="majorHAnsi" w:hAnsiTheme="majorHAnsi"/>
                <w:color w:val="FF0000"/>
                <w:sz w:val="20"/>
                <w:szCs w:val="20"/>
              </w:rPr>
            </w:pPr>
            <w:r w:rsidRPr="00EA5E21">
              <w:rPr>
                <w:rFonts w:asciiTheme="majorHAnsi" w:hAnsiTheme="majorHAnsi"/>
                <w:sz w:val="20"/>
                <w:szCs w:val="20"/>
              </w:rPr>
              <w:t>The training set is available as a supporting information file of the relevant publication.</w:t>
            </w:r>
          </w:p>
        </w:tc>
      </w:tr>
      <w:tr w:rsidR="00874525" w:rsidRPr="00FC4482" w14:paraId="05A6DC0B" w14:textId="77777777" w:rsidTr="00400D06">
        <w:trPr>
          <w:trHeight w:val="680"/>
        </w:trPr>
        <w:tc>
          <w:tcPr>
            <w:tcW w:w="681" w:type="dxa"/>
            <w:hideMark/>
          </w:tcPr>
          <w:p w14:paraId="708315F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6.4.</w:t>
            </w:r>
          </w:p>
        </w:tc>
        <w:tc>
          <w:tcPr>
            <w:tcW w:w="3083" w:type="dxa"/>
            <w:hideMark/>
          </w:tcPr>
          <w:p w14:paraId="6FEE09C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the dependent variable for the training set</w:t>
            </w:r>
          </w:p>
        </w:tc>
        <w:tc>
          <w:tcPr>
            <w:tcW w:w="5729" w:type="dxa"/>
            <w:hideMark/>
          </w:tcPr>
          <w:p w14:paraId="19F92255" w14:textId="2DB91A2B" w:rsidR="00874525" w:rsidRPr="00FC4482" w:rsidRDefault="00874525" w:rsidP="00874525">
            <w:pPr>
              <w:rPr>
                <w:rFonts w:asciiTheme="majorHAnsi" w:hAnsiTheme="majorHAnsi"/>
                <w:color w:val="FF0000"/>
                <w:sz w:val="20"/>
                <w:szCs w:val="20"/>
              </w:rPr>
            </w:pPr>
            <w:r w:rsidRPr="00EA5E21">
              <w:rPr>
                <w:rFonts w:asciiTheme="majorHAnsi" w:hAnsiTheme="majorHAnsi"/>
                <w:sz w:val="20"/>
                <w:szCs w:val="20"/>
              </w:rPr>
              <w:t>The training set is available as a supporting information file of the relevant publication.</w:t>
            </w:r>
          </w:p>
        </w:tc>
      </w:tr>
      <w:tr w:rsidR="00874525" w:rsidRPr="00FC4482" w14:paraId="76138AF1" w14:textId="77777777" w:rsidTr="00BD55DA">
        <w:trPr>
          <w:trHeight w:val="648"/>
        </w:trPr>
        <w:tc>
          <w:tcPr>
            <w:tcW w:w="681" w:type="dxa"/>
            <w:hideMark/>
          </w:tcPr>
          <w:p w14:paraId="6D54383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6.5.</w:t>
            </w:r>
          </w:p>
        </w:tc>
        <w:tc>
          <w:tcPr>
            <w:tcW w:w="3083" w:type="dxa"/>
            <w:hideMark/>
          </w:tcPr>
          <w:p w14:paraId="52FD3B85" w14:textId="77777777" w:rsidR="00874525" w:rsidRPr="0029120F" w:rsidRDefault="00874525" w:rsidP="00874525">
            <w:pPr>
              <w:rPr>
                <w:rFonts w:asciiTheme="majorHAnsi" w:hAnsiTheme="majorHAnsi"/>
                <w:sz w:val="20"/>
                <w:szCs w:val="20"/>
              </w:rPr>
            </w:pPr>
            <w:r w:rsidRPr="0029120F">
              <w:rPr>
                <w:rFonts w:asciiTheme="majorHAnsi" w:hAnsiTheme="majorHAnsi"/>
                <w:sz w:val="20"/>
                <w:szCs w:val="20"/>
              </w:rPr>
              <w:t>Other information about the training set</w:t>
            </w:r>
          </w:p>
        </w:tc>
        <w:tc>
          <w:tcPr>
            <w:tcW w:w="5729" w:type="dxa"/>
            <w:hideMark/>
          </w:tcPr>
          <w:p w14:paraId="57E1374E" w14:textId="499185B8" w:rsidR="00874525" w:rsidRPr="0029120F" w:rsidRDefault="0029120F" w:rsidP="00874525">
            <w:pPr>
              <w:rPr>
                <w:rFonts w:asciiTheme="majorHAnsi" w:hAnsiTheme="majorHAnsi"/>
                <w:sz w:val="20"/>
                <w:szCs w:val="20"/>
              </w:rPr>
            </w:pPr>
            <w:r w:rsidRPr="0029120F">
              <w:rPr>
                <w:rFonts w:asciiTheme="majorHAnsi" w:hAnsiTheme="majorHAnsi"/>
                <w:sz w:val="20"/>
                <w:szCs w:val="20"/>
              </w:rPr>
              <w:t>The training set comprises of 53 NMs randomly selected from the pool of the original NMs.</w:t>
            </w:r>
          </w:p>
        </w:tc>
      </w:tr>
      <w:tr w:rsidR="00874525" w:rsidRPr="00FC4482" w14:paraId="41A054BD" w14:textId="77777777" w:rsidTr="000628BB">
        <w:trPr>
          <w:trHeight w:val="482"/>
        </w:trPr>
        <w:tc>
          <w:tcPr>
            <w:tcW w:w="681" w:type="dxa"/>
            <w:hideMark/>
          </w:tcPr>
          <w:p w14:paraId="66C6370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6.6.</w:t>
            </w:r>
          </w:p>
        </w:tc>
        <w:tc>
          <w:tcPr>
            <w:tcW w:w="3083" w:type="dxa"/>
            <w:hideMark/>
          </w:tcPr>
          <w:p w14:paraId="5D3B2FD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Pre-processing of data before modelling</w:t>
            </w:r>
          </w:p>
        </w:tc>
        <w:tc>
          <w:tcPr>
            <w:tcW w:w="5729" w:type="dxa"/>
            <w:hideMark/>
          </w:tcPr>
          <w:p w14:paraId="42A7FCF7" w14:textId="1A2B3C10" w:rsidR="00874525" w:rsidRPr="00FC4482" w:rsidRDefault="00874525" w:rsidP="00874525">
            <w:pPr>
              <w:rPr>
                <w:rFonts w:asciiTheme="majorHAnsi" w:hAnsiTheme="majorHAnsi"/>
                <w:color w:val="FF0000"/>
                <w:sz w:val="20"/>
                <w:szCs w:val="20"/>
              </w:rPr>
            </w:pPr>
            <w:r w:rsidRPr="00777094">
              <w:rPr>
                <w:rFonts w:asciiTheme="majorHAnsi" w:hAnsiTheme="majorHAnsi"/>
                <w:sz w:val="20"/>
                <w:szCs w:val="20"/>
              </w:rPr>
              <w:t>Z-score (Gaussian) normalization</w:t>
            </w:r>
            <w:r>
              <w:rPr>
                <w:rFonts w:asciiTheme="majorHAnsi" w:hAnsiTheme="majorHAnsi"/>
                <w:sz w:val="20"/>
                <w:szCs w:val="20"/>
              </w:rPr>
              <w:t xml:space="preserve"> of the independent variables</w:t>
            </w:r>
          </w:p>
        </w:tc>
      </w:tr>
      <w:tr w:rsidR="00874525" w:rsidRPr="00FC4482" w14:paraId="375A5C50" w14:textId="77777777" w:rsidTr="005864A6">
        <w:trPr>
          <w:trHeight w:val="1053"/>
        </w:trPr>
        <w:tc>
          <w:tcPr>
            <w:tcW w:w="681" w:type="dxa"/>
            <w:hideMark/>
          </w:tcPr>
          <w:p w14:paraId="3EDFBBA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6.7.</w:t>
            </w:r>
          </w:p>
        </w:tc>
        <w:tc>
          <w:tcPr>
            <w:tcW w:w="3083" w:type="dxa"/>
            <w:hideMark/>
          </w:tcPr>
          <w:p w14:paraId="282F3CE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Statistics for goodness-of-fit</w:t>
            </w:r>
          </w:p>
        </w:tc>
        <w:tc>
          <w:tcPr>
            <w:tcW w:w="5729" w:type="dxa"/>
            <w:hideMark/>
          </w:tcPr>
          <w:p w14:paraId="3B013DCA" w14:textId="232C54EC" w:rsidR="00874525" w:rsidRPr="007D5036" w:rsidRDefault="00874525" w:rsidP="00874525">
            <w:pPr>
              <w:rPr>
                <w:rFonts w:asciiTheme="majorHAnsi" w:hAnsiTheme="majorHAnsi"/>
                <w:sz w:val="20"/>
                <w:szCs w:val="20"/>
              </w:rPr>
            </w:pPr>
            <w:r w:rsidRPr="007D5036">
              <w:rPr>
                <w:rFonts w:asciiTheme="majorHAnsi" w:hAnsiTheme="majorHAnsi"/>
                <w:sz w:val="20"/>
                <w:szCs w:val="20"/>
              </w:rPr>
              <w:t>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sidRPr="00CC7494">
              <w:rPr>
                <w:rFonts w:asciiTheme="majorHAnsi" w:hAnsiTheme="majorHAnsi"/>
                <w:sz w:val="20"/>
                <w:szCs w:val="20"/>
              </w:rPr>
              <w:t>0.99</w:t>
            </w:r>
          </w:p>
          <w:p w14:paraId="773FDB74" w14:textId="76C29881" w:rsidR="00874525" w:rsidRPr="007D5036" w:rsidRDefault="00874525" w:rsidP="00874525">
            <w:pPr>
              <w:rPr>
                <w:rFonts w:asciiTheme="majorHAnsi" w:hAnsiTheme="majorHAnsi"/>
                <w:sz w:val="20"/>
                <w:szCs w:val="20"/>
              </w:rPr>
            </w:pPr>
            <w:r w:rsidRPr="007D5036">
              <w:rPr>
                <w:rFonts w:asciiTheme="majorHAnsi" w:hAnsiTheme="majorHAnsi"/>
                <w:sz w:val="20"/>
                <w:szCs w:val="20"/>
              </w:rPr>
              <w:t>Adjusted 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sidRPr="00CC7494">
              <w:rPr>
                <w:rFonts w:asciiTheme="majorHAnsi" w:hAnsiTheme="majorHAnsi"/>
                <w:sz w:val="20"/>
                <w:szCs w:val="20"/>
              </w:rPr>
              <w:t>0.99</w:t>
            </w:r>
          </w:p>
          <w:p w14:paraId="4C868D92" w14:textId="2261849A" w:rsidR="00874525" w:rsidRPr="007D5036" w:rsidRDefault="00874525" w:rsidP="00874525">
            <w:pPr>
              <w:rPr>
                <w:rFonts w:asciiTheme="majorHAnsi" w:hAnsiTheme="majorHAnsi"/>
                <w:sz w:val="20"/>
                <w:szCs w:val="20"/>
              </w:rPr>
            </w:pPr>
            <w:r w:rsidRPr="007D5036">
              <w:rPr>
                <w:rFonts w:asciiTheme="majorHAnsi" w:hAnsiTheme="majorHAnsi"/>
                <w:sz w:val="20"/>
                <w:szCs w:val="20"/>
              </w:rPr>
              <w:t xml:space="preserve">MAE = </w:t>
            </w:r>
            <w:r w:rsidRPr="00CC7494">
              <w:rPr>
                <w:rFonts w:asciiTheme="majorHAnsi" w:hAnsiTheme="majorHAnsi"/>
                <w:sz w:val="20"/>
                <w:szCs w:val="20"/>
              </w:rPr>
              <w:t>0.29</w:t>
            </w:r>
          </w:p>
          <w:p w14:paraId="37404315" w14:textId="1228C59D" w:rsidR="00874525" w:rsidRPr="00FC4482" w:rsidRDefault="00874525" w:rsidP="00874525">
            <w:pPr>
              <w:rPr>
                <w:rFonts w:asciiTheme="majorHAnsi" w:hAnsiTheme="majorHAnsi"/>
                <w:color w:val="FF0000"/>
                <w:sz w:val="20"/>
                <w:szCs w:val="20"/>
              </w:rPr>
            </w:pPr>
            <w:r w:rsidRPr="007D5036">
              <w:rPr>
                <w:rFonts w:asciiTheme="majorHAnsi" w:hAnsiTheme="majorHAnsi"/>
                <w:sz w:val="20"/>
                <w:szCs w:val="20"/>
              </w:rPr>
              <w:t xml:space="preserve">RMSE = </w:t>
            </w:r>
            <w:r w:rsidRPr="00CC7494">
              <w:rPr>
                <w:rFonts w:asciiTheme="majorHAnsi" w:hAnsiTheme="majorHAnsi"/>
                <w:sz w:val="20"/>
                <w:szCs w:val="20"/>
              </w:rPr>
              <w:t>0.54</w:t>
            </w:r>
          </w:p>
        </w:tc>
      </w:tr>
      <w:tr w:rsidR="00874525" w:rsidRPr="00FC4482" w14:paraId="79E0CD98" w14:textId="77777777" w:rsidTr="002F6BE4">
        <w:trPr>
          <w:trHeight w:val="1541"/>
        </w:trPr>
        <w:tc>
          <w:tcPr>
            <w:tcW w:w="681" w:type="dxa"/>
            <w:hideMark/>
          </w:tcPr>
          <w:p w14:paraId="2094412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6.8.</w:t>
            </w:r>
          </w:p>
        </w:tc>
        <w:tc>
          <w:tcPr>
            <w:tcW w:w="3083" w:type="dxa"/>
            <w:hideMark/>
          </w:tcPr>
          <w:p w14:paraId="72954C9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Robustness - Statistics obtained by leave-one-out cross-validation</w:t>
            </w:r>
          </w:p>
        </w:tc>
        <w:tc>
          <w:tcPr>
            <w:tcW w:w="5729" w:type="dxa"/>
            <w:hideMark/>
          </w:tcPr>
          <w:p w14:paraId="20C7A0EA" w14:textId="13DD7BD5" w:rsidR="00874525" w:rsidRPr="00AD5519" w:rsidRDefault="00874525" w:rsidP="00874525">
            <w:pPr>
              <w:rPr>
                <w:rFonts w:asciiTheme="majorHAnsi" w:hAnsiTheme="majorHAnsi"/>
                <w:sz w:val="20"/>
                <w:szCs w:val="20"/>
              </w:rPr>
            </w:pPr>
            <w:r w:rsidRPr="00AD5519">
              <w:rPr>
                <w:rFonts w:asciiTheme="majorHAnsi" w:hAnsiTheme="majorHAnsi"/>
                <w:sz w:val="20"/>
                <w:szCs w:val="20"/>
              </w:rPr>
              <w:t xml:space="preserve">Robustness – Statistics obtained by leave-one-out cross-validation (training set): </w:t>
            </w:r>
          </w:p>
          <w:p w14:paraId="2574F306" w14:textId="4131DE51" w:rsidR="00874525" w:rsidRPr="007D5036" w:rsidRDefault="00874525" w:rsidP="00874525">
            <w:pPr>
              <w:rPr>
                <w:rFonts w:asciiTheme="majorHAnsi" w:hAnsiTheme="majorHAnsi"/>
                <w:sz w:val="20"/>
                <w:szCs w:val="20"/>
              </w:rPr>
            </w:pPr>
            <w:r w:rsidRPr="007D5036">
              <w:rPr>
                <w:rFonts w:asciiTheme="majorHAnsi" w:hAnsiTheme="majorHAnsi"/>
                <w:sz w:val="20"/>
                <w:szCs w:val="20"/>
              </w:rPr>
              <w:t>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Pr>
                <w:rFonts w:asciiTheme="majorHAnsi" w:hAnsiTheme="majorHAnsi"/>
                <w:sz w:val="20"/>
                <w:szCs w:val="20"/>
              </w:rPr>
              <w:t>0.62</w:t>
            </w:r>
          </w:p>
          <w:p w14:paraId="129BE1A2" w14:textId="312AB1CD" w:rsidR="00874525" w:rsidRPr="007D5036" w:rsidRDefault="00874525" w:rsidP="00874525">
            <w:pPr>
              <w:rPr>
                <w:rFonts w:asciiTheme="majorHAnsi" w:hAnsiTheme="majorHAnsi"/>
                <w:sz w:val="20"/>
                <w:szCs w:val="20"/>
              </w:rPr>
            </w:pPr>
            <w:r w:rsidRPr="007D5036">
              <w:rPr>
                <w:rFonts w:asciiTheme="majorHAnsi" w:hAnsiTheme="majorHAnsi"/>
                <w:sz w:val="20"/>
                <w:szCs w:val="20"/>
              </w:rPr>
              <w:t>Adjusted 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Pr>
                <w:rFonts w:asciiTheme="majorHAnsi" w:hAnsiTheme="majorHAnsi"/>
                <w:sz w:val="20"/>
                <w:szCs w:val="20"/>
              </w:rPr>
              <w:t>0.62</w:t>
            </w:r>
          </w:p>
          <w:p w14:paraId="012BBD07" w14:textId="5C705343" w:rsidR="00874525" w:rsidRPr="007D5036" w:rsidRDefault="00874525" w:rsidP="00874525">
            <w:pPr>
              <w:rPr>
                <w:rFonts w:asciiTheme="majorHAnsi" w:hAnsiTheme="majorHAnsi"/>
                <w:sz w:val="20"/>
                <w:szCs w:val="20"/>
              </w:rPr>
            </w:pPr>
            <w:r w:rsidRPr="007D5036">
              <w:rPr>
                <w:rFonts w:asciiTheme="majorHAnsi" w:hAnsiTheme="majorHAnsi"/>
                <w:sz w:val="20"/>
                <w:szCs w:val="20"/>
              </w:rPr>
              <w:t xml:space="preserve">MAE = </w:t>
            </w:r>
            <w:r>
              <w:rPr>
                <w:rFonts w:asciiTheme="majorHAnsi" w:hAnsiTheme="majorHAnsi"/>
                <w:sz w:val="20"/>
                <w:szCs w:val="20"/>
              </w:rPr>
              <w:t>12.0</w:t>
            </w:r>
            <w:r w:rsidR="00682005">
              <w:rPr>
                <w:rFonts w:asciiTheme="majorHAnsi" w:hAnsiTheme="majorHAnsi"/>
                <w:sz w:val="20"/>
                <w:szCs w:val="20"/>
              </w:rPr>
              <w:t>9</w:t>
            </w:r>
          </w:p>
          <w:p w14:paraId="64A71BC2" w14:textId="65B1D7D9" w:rsidR="00874525" w:rsidRPr="00AD5519" w:rsidRDefault="00874525" w:rsidP="00874525">
            <w:pPr>
              <w:rPr>
                <w:rFonts w:asciiTheme="majorHAnsi" w:hAnsiTheme="majorHAnsi"/>
                <w:sz w:val="20"/>
                <w:szCs w:val="20"/>
              </w:rPr>
            </w:pPr>
            <w:r w:rsidRPr="007D5036">
              <w:rPr>
                <w:rFonts w:asciiTheme="majorHAnsi" w:hAnsiTheme="majorHAnsi"/>
                <w:sz w:val="20"/>
                <w:szCs w:val="20"/>
              </w:rPr>
              <w:t xml:space="preserve">RMSE = </w:t>
            </w:r>
            <w:r>
              <w:rPr>
                <w:rFonts w:asciiTheme="majorHAnsi" w:hAnsiTheme="majorHAnsi"/>
                <w:sz w:val="20"/>
                <w:szCs w:val="20"/>
              </w:rPr>
              <w:t>20.0</w:t>
            </w:r>
            <w:r w:rsidR="00682005">
              <w:rPr>
                <w:rFonts w:asciiTheme="majorHAnsi" w:hAnsiTheme="majorHAnsi"/>
                <w:sz w:val="20"/>
                <w:szCs w:val="20"/>
              </w:rPr>
              <w:t>5</w:t>
            </w:r>
          </w:p>
        </w:tc>
      </w:tr>
      <w:tr w:rsidR="00874525" w:rsidRPr="00FC4482" w14:paraId="64A4ECA4" w14:textId="77777777" w:rsidTr="00C16E50">
        <w:trPr>
          <w:trHeight w:val="1474"/>
        </w:trPr>
        <w:tc>
          <w:tcPr>
            <w:tcW w:w="681" w:type="dxa"/>
            <w:hideMark/>
          </w:tcPr>
          <w:p w14:paraId="403C448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6.9.</w:t>
            </w:r>
          </w:p>
        </w:tc>
        <w:tc>
          <w:tcPr>
            <w:tcW w:w="3083" w:type="dxa"/>
            <w:hideMark/>
          </w:tcPr>
          <w:p w14:paraId="631E59F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Robustness - Statistics obtained by leave-many-out cross-validation</w:t>
            </w:r>
          </w:p>
        </w:tc>
        <w:tc>
          <w:tcPr>
            <w:tcW w:w="5729" w:type="dxa"/>
            <w:hideMark/>
          </w:tcPr>
          <w:p w14:paraId="27B0CF5C" w14:textId="77777777" w:rsidR="00874525" w:rsidRDefault="00874525" w:rsidP="00874525">
            <w:pPr>
              <w:rPr>
                <w:rFonts w:asciiTheme="majorHAnsi" w:hAnsiTheme="majorHAnsi"/>
                <w:sz w:val="20"/>
                <w:szCs w:val="20"/>
              </w:rPr>
            </w:pPr>
            <w:r w:rsidRPr="00AD5519">
              <w:rPr>
                <w:rFonts w:asciiTheme="majorHAnsi" w:hAnsiTheme="majorHAnsi"/>
                <w:sz w:val="20"/>
                <w:szCs w:val="20"/>
              </w:rPr>
              <w:t>Robustness – Statistics obtained by five-fold cross-validation (random selection, training set):</w:t>
            </w:r>
          </w:p>
          <w:p w14:paraId="450FB54B" w14:textId="04A28B8C" w:rsidR="00874525" w:rsidRPr="007D5036" w:rsidRDefault="00874525" w:rsidP="00874525">
            <w:pPr>
              <w:rPr>
                <w:rFonts w:asciiTheme="majorHAnsi" w:hAnsiTheme="majorHAnsi"/>
                <w:sz w:val="20"/>
                <w:szCs w:val="20"/>
              </w:rPr>
            </w:pPr>
            <w:r w:rsidRPr="007D5036">
              <w:rPr>
                <w:rFonts w:asciiTheme="majorHAnsi" w:hAnsiTheme="majorHAnsi"/>
                <w:sz w:val="20"/>
                <w:szCs w:val="20"/>
              </w:rPr>
              <w:t>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Pr>
                <w:rFonts w:asciiTheme="majorHAnsi" w:hAnsiTheme="majorHAnsi"/>
                <w:sz w:val="20"/>
                <w:szCs w:val="20"/>
              </w:rPr>
              <w:t>0.6</w:t>
            </w:r>
            <w:r w:rsidR="00AD149C">
              <w:rPr>
                <w:rFonts w:asciiTheme="majorHAnsi" w:hAnsiTheme="majorHAnsi"/>
                <w:sz w:val="20"/>
                <w:szCs w:val="20"/>
              </w:rPr>
              <w:t>6</w:t>
            </w:r>
          </w:p>
          <w:p w14:paraId="06AAD2EB" w14:textId="4F2BB0A1" w:rsidR="00874525" w:rsidRPr="007D5036" w:rsidRDefault="00874525" w:rsidP="00874525">
            <w:pPr>
              <w:rPr>
                <w:rFonts w:asciiTheme="majorHAnsi" w:hAnsiTheme="majorHAnsi"/>
                <w:sz w:val="20"/>
                <w:szCs w:val="20"/>
              </w:rPr>
            </w:pPr>
            <w:r w:rsidRPr="007D5036">
              <w:rPr>
                <w:rFonts w:asciiTheme="majorHAnsi" w:hAnsiTheme="majorHAnsi"/>
                <w:sz w:val="20"/>
                <w:szCs w:val="20"/>
              </w:rPr>
              <w:t>Adjusted 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Pr>
                <w:rFonts w:asciiTheme="majorHAnsi" w:hAnsiTheme="majorHAnsi"/>
                <w:sz w:val="20"/>
                <w:szCs w:val="20"/>
              </w:rPr>
              <w:t>0.6</w:t>
            </w:r>
            <w:r w:rsidR="00AD149C">
              <w:rPr>
                <w:rFonts w:asciiTheme="majorHAnsi" w:hAnsiTheme="majorHAnsi"/>
                <w:sz w:val="20"/>
                <w:szCs w:val="20"/>
              </w:rPr>
              <w:t>6</w:t>
            </w:r>
          </w:p>
          <w:p w14:paraId="626A3E96" w14:textId="0D47FDA7" w:rsidR="00874525" w:rsidRPr="007D5036" w:rsidRDefault="00874525" w:rsidP="00874525">
            <w:pPr>
              <w:rPr>
                <w:rFonts w:asciiTheme="majorHAnsi" w:hAnsiTheme="majorHAnsi"/>
                <w:sz w:val="20"/>
                <w:szCs w:val="20"/>
              </w:rPr>
            </w:pPr>
            <w:r w:rsidRPr="007D5036">
              <w:rPr>
                <w:rFonts w:asciiTheme="majorHAnsi" w:hAnsiTheme="majorHAnsi"/>
                <w:sz w:val="20"/>
                <w:szCs w:val="20"/>
              </w:rPr>
              <w:t xml:space="preserve">MAE = </w:t>
            </w:r>
            <w:r w:rsidR="00AD149C">
              <w:rPr>
                <w:rFonts w:asciiTheme="majorHAnsi" w:hAnsiTheme="majorHAnsi"/>
                <w:sz w:val="20"/>
                <w:szCs w:val="20"/>
              </w:rPr>
              <w:t>13.12</w:t>
            </w:r>
          </w:p>
          <w:p w14:paraId="1E6D5D67" w14:textId="5F5BAB0D" w:rsidR="00874525" w:rsidRPr="002F6BE4" w:rsidRDefault="00874525" w:rsidP="00874525">
            <w:pPr>
              <w:rPr>
                <w:rFonts w:asciiTheme="majorHAnsi" w:hAnsiTheme="majorHAnsi"/>
                <w:sz w:val="20"/>
                <w:szCs w:val="20"/>
              </w:rPr>
            </w:pPr>
            <w:r w:rsidRPr="007D5036">
              <w:rPr>
                <w:rFonts w:asciiTheme="majorHAnsi" w:hAnsiTheme="majorHAnsi"/>
                <w:sz w:val="20"/>
                <w:szCs w:val="20"/>
              </w:rPr>
              <w:t xml:space="preserve">RMSE = </w:t>
            </w:r>
            <w:r>
              <w:rPr>
                <w:rFonts w:asciiTheme="majorHAnsi" w:hAnsiTheme="majorHAnsi"/>
                <w:sz w:val="20"/>
                <w:szCs w:val="20"/>
              </w:rPr>
              <w:t>19.</w:t>
            </w:r>
            <w:r w:rsidR="00AD149C">
              <w:rPr>
                <w:rFonts w:asciiTheme="majorHAnsi" w:hAnsiTheme="majorHAnsi"/>
                <w:sz w:val="20"/>
                <w:szCs w:val="20"/>
              </w:rPr>
              <w:t>13</w:t>
            </w:r>
          </w:p>
        </w:tc>
      </w:tr>
      <w:tr w:rsidR="00874525" w:rsidRPr="00FC4482" w14:paraId="4F4A7158" w14:textId="77777777" w:rsidTr="00AA7C55">
        <w:trPr>
          <w:trHeight w:val="2828"/>
        </w:trPr>
        <w:tc>
          <w:tcPr>
            <w:tcW w:w="681" w:type="dxa"/>
            <w:hideMark/>
          </w:tcPr>
          <w:p w14:paraId="26174092" w14:textId="77777777" w:rsidR="00874525" w:rsidRPr="00291B4A" w:rsidRDefault="00874525" w:rsidP="00874525">
            <w:pPr>
              <w:rPr>
                <w:rFonts w:asciiTheme="majorHAnsi" w:hAnsiTheme="majorHAnsi"/>
                <w:sz w:val="20"/>
                <w:szCs w:val="20"/>
              </w:rPr>
            </w:pPr>
            <w:r w:rsidRPr="00291B4A">
              <w:rPr>
                <w:rFonts w:asciiTheme="majorHAnsi" w:hAnsiTheme="majorHAnsi"/>
                <w:sz w:val="20"/>
                <w:szCs w:val="20"/>
              </w:rPr>
              <w:t>6.10.</w:t>
            </w:r>
          </w:p>
        </w:tc>
        <w:tc>
          <w:tcPr>
            <w:tcW w:w="3083" w:type="dxa"/>
            <w:hideMark/>
          </w:tcPr>
          <w:p w14:paraId="6514F794" w14:textId="77777777" w:rsidR="00874525" w:rsidRPr="00291B4A" w:rsidRDefault="00874525" w:rsidP="00874525">
            <w:pPr>
              <w:rPr>
                <w:rFonts w:asciiTheme="majorHAnsi" w:hAnsiTheme="majorHAnsi"/>
                <w:sz w:val="20"/>
                <w:szCs w:val="20"/>
              </w:rPr>
            </w:pPr>
            <w:r w:rsidRPr="00291B4A">
              <w:rPr>
                <w:rFonts w:asciiTheme="majorHAnsi" w:hAnsiTheme="majorHAnsi"/>
                <w:sz w:val="20"/>
                <w:szCs w:val="20"/>
              </w:rPr>
              <w:t>Robustness - Statistics obtained by Y-scrambling</w:t>
            </w:r>
          </w:p>
        </w:tc>
        <w:tc>
          <w:tcPr>
            <w:tcW w:w="5729" w:type="dxa"/>
            <w:hideMark/>
          </w:tcPr>
          <w:p w14:paraId="10CCE732" w14:textId="68639CDE" w:rsidR="00874525" w:rsidRPr="004C28A3" w:rsidRDefault="00874525" w:rsidP="00874525">
            <w:pPr>
              <w:rPr>
                <w:rFonts w:asciiTheme="majorHAnsi" w:hAnsiTheme="majorHAnsi"/>
                <w:sz w:val="20"/>
                <w:szCs w:val="20"/>
              </w:rPr>
            </w:pPr>
            <w:r w:rsidRPr="004C28A3">
              <w:rPr>
                <w:rFonts w:asciiTheme="majorHAnsi" w:hAnsiTheme="majorHAnsi"/>
                <w:sz w:val="20"/>
                <w:szCs w:val="20"/>
              </w:rPr>
              <w:t xml:space="preserve">Robustness – Statistics obtained by Y-scrambling: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851"/>
              <w:gridCol w:w="866"/>
            </w:tblGrid>
            <w:tr w:rsidR="00874525" w:rsidRPr="003A63B6" w14:paraId="0A505B87" w14:textId="77777777" w:rsidTr="003A63B6">
              <w:trPr>
                <w:jc w:val="center"/>
              </w:trPr>
              <w:tc>
                <w:tcPr>
                  <w:tcW w:w="571" w:type="dxa"/>
                </w:tcPr>
                <w:p w14:paraId="454DE8FD" w14:textId="7777B234" w:rsidR="00874525" w:rsidRPr="003A63B6" w:rsidRDefault="00874525" w:rsidP="00874525">
                  <w:pPr>
                    <w:jc w:val="center"/>
                    <w:rPr>
                      <w:rFonts w:asciiTheme="majorHAnsi" w:hAnsiTheme="majorHAnsi"/>
                      <w:b/>
                      <w:bCs/>
                      <w:sz w:val="20"/>
                      <w:szCs w:val="20"/>
                    </w:rPr>
                  </w:pPr>
                  <w:r w:rsidRPr="003A63B6">
                    <w:rPr>
                      <w:rFonts w:asciiTheme="majorHAnsi" w:hAnsiTheme="majorHAnsi"/>
                      <w:b/>
                      <w:bCs/>
                      <w:sz w:val="20"/>
                      <w:szCs w:val="20"/>
                    </w:rPr>
                    <w:t>#</w:t>
                  </w:r>
                </w:p>
              </w:tc>
              <w:tc>
                <w:tcPr>
                  <w:tcW w:w="851" w:type="dxa"/>
                </w:tcPr>
                <w:p w14:paraId="58F01A36" w14:textId="7D4AF7BF" w:rsidR="00874525" w:rsidRPr="003A63B6" w:rsidRDefault="00874525" w:rsidP="00874525">
                  <w:pPr>
                    <w:jc w:val="center"/>
                    <w:rPr>
                      <w:rFonts w:asciiTheme="majorHAnsi" w:hAnsiTheme="majorHAnsi"/>
                      <w:b/>
                      <w:bCs/>
                      <w:sz w:val="20"/>
                      <w:szCs w:val="20"/>
                    </w:rPr>
                  </w:pPr>
                  <w:r w:rsidRPr="003A63B6">
                    <w:rPr>
                      <w:rFonts w:asciiTheme="majorHAnsi" w:hAnsiTheme="majorHAnsi"/>
                      <w:b/>
                      <w:bCs/>
                      <w:sz w:val="20"/>
                      <w:szCs w:val="20"/>
                    </w:rPr>
                    <w:t>R</w:t>
                  </w:r>
                  <w:r w:rsidRPr="003A63B6">
                    <w:rPr>
                      <w:rFonts w:asciiTheme="majorHAnsi" w:hAnsiTheme="majorHAnsi"/>
                      <w:b/>
                      <w:bCs/>
                      <w:sz w:val="20"/>
                      <w:szCs w:val="20"/>
                      <w:vertAlign w:val="superscript"/>
                    </w:rPr>
                    <w:t>2</w:t>
                  </w:r>
                </w:p>
              </w:tc>
              <w:tc>
                <w:tcPr>
                  <w:tcW w:w="866" w:type="dxa"/>
                </w:tcPr>
                <w:p w14:paraId="0E2A5D77" w14:textId="17EB2B19" w:rsidR="00874525" w:rsidRPr="003A63B6" w:rsidRDefault="00874525" w:rsidP="00874525">
                  <w:pPr>
                    <w:jc w:val="center"/>
                    <w:rPr>
                      <w:rFonts w:asciiTheme="majorHAnsi" w:hAnsiTheme="majorHAnsi"/>
                      <w:b/>
                      <w:bCs/>
                      <w:sz w:val="20"/>
                      <w:szCs w:val="20"/>
                    </w:rPr>
                  </w:pPr>
                  <w:r w:rsidRPr="003A63B6">
                    <w:rPr>
                      <w:rFonts w:asciiTheme="majorHAnsi" w:hAnsiTheme="majorHAnsi"/>
                      <w:b/>
                      <w:bCs/>
                      <w:sz w:val="20"/>
                      <w:szCs w:val="20"/>
                    </w:rPr>
                    <w:t>RMSE</w:t>
                  </w:r>
                </w:p>
              </w:tc>
            </w:tr>
            <w:tr w:rsidR="00874525" w14:paraId="4A350BCE" w14:textId="77777777" w:rsidTr="003A63B6">
              <w:trPr>
                <w:jc w:val="center"/>
              </w:trPr>
              <w:tc>
                <w:tcPr>
                  <w:tcW w:w="571" w:type="dxa"/>
                </w:tcPr>
                <w:p w14:paraId="47D3ED7C" w14:textId="7A3EE394"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1</w:t>
                  </w:r>
                </w:p>
              </w:tc>
              <w:tc>
                <w:tcPr>
                  <w:tcW w:w="851" w:type="dxa"/>
                </w:tcPr>
                <w:p w14:paraId="284A84AA" w14:textId="6E740FB4" w:rsidR="00874525" w:rsidRPr="004C229E" w:rsidRDefault="00874525" w:rsidP="00874525">
                  <w:pPr>
                    <w:jc w:val="center"/>
                    <w:rPr>
                      <w:rFonts w:asciiTheme="majorHAnsi" w:hAnsiTheme="majorHAnsi"/>
                      <w:sz w:val="20"/>
                      <w:szCs w:val="20"/>
                    </w:rPr>
                  </w:pPr>
                  <w:r w:rsidRPr="004C28A3">
                    <w:rPr>
                      <w:rFonts w:asciiTheme="majorHAnsi" w:hAnsiTheme="majorHAnsi"/>
                      <w:sz w:val="20"/>
                      <w:szCs w:val="20"/>
                    </w:rPr>
                    <w:t>-0.7</w:t>
                  </w:r>
                  <w:r w:rsidRPr="004C229E">
                    <w:rPr>
                      <w:rFonts w:asciiTheme="majorHAnsi" w:hAnsiTheme="majorHAnsi"/>
                      <w:sz w:val="20"/>
                      <w:szCs w:val="20"/>
                    </w:rPr>
                    <w:t>4</w:t>
                  </w:r>
                </w:p>
              </w:tc>
              <w:tc>
                <w:tcPr>
                  <w:tcW w:w="866" w:type="dxa"/>
                </w:tcPr>
                <w:p w14:paraId="4DD046B2" w14:textId="4101B22E"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36.40</w:t>
                  </w:r>
                </w:p>
              </w:tc>
            </w:tr>
            <w:tr w:rsidR="00874525" w14:paraId="79F576C5" w14:textId="77777777" w:rsidTr="003A63B6">
              <w:trPr>
                <w:jc w:val="center"/>
              </w:trPr>
              <w:tc>
                <w:tcPr>
                  <w:tcW w:w="571" w:type="dxa"/>
                </w:tcPr>
                <w:p w14:paraId="7012C250" w14:textId="02C47422"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2</w:t>
                  </w:r>
                </w:p>
              </w:tc>
              <w:tc>
                <w:tcPr>
                  <w:tcW w:w="851" w:type="dxa"/>
                </w:tcPr>
                <w:p w14:paraId="1AB56728" w14:textId="758B58BC" w:rsidR="00874525" w:rsidRPr="004C229E" w:rsidRDefault="00874525" w:rsidP="00874525">
                  <w:pPr>
                    <w:jc w:val="center"/>
                    <w:rPr>
                      <w:rFonts w:asciiTheme="majorHAnsi" w:hAnsiTheme="majorHAnsi"/>
                      <w:sz w:val="20"/>
                      <w:szCs w:val="20"/>
                    </w:rPr>
                  </w:pPr>
                  <w:r w:rsidRPr="004C28A3">
                    <w:rPr>
                      <w:rFonts w:asciiTheme="majorHAnsi" w:hAnsiTheme="majorHAnsi"/>
                      <w:sz w:val="20"/>
                      <w:szCs w:val="20"/>
                    </w:rPr>
                    <w:t>0.2</w:t>
                  </w:r>
                  <w:r w:rsidRPr="004C229E">
                    <w:rPr>
                      <w:rFonts w:asciiTheme="majorHAnsi" w:hAnsiTheme="majorHAnsi"/>
                      <w:sz w:val="20"/>
                      <w:szCs w:val="20"/>
                    </w:rPr>
                    <w:t>8</w:t>
                  </w:r>
                </w:p>
              </w:tc>
              <w:tc>
                <w:tcPr>
                  <w:tcW w:w="866" w:type="dxa"/>
                </w:tcPr>
                <w:p w14:paraId="3C43392E" w14:textId="791D652D"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23.45</w:t>
                  </w:r>
                </w:p>
              </w:tc>
            </w:tr>
            <w:tr w:rsidR="00874525" w14:paraId="6E9FF691" w14:textId="77777777" w:rsidTr="003A63B6">
              <w:trPr>
                <w:jc w:val="center"/>
              </w:trPr>
              <w:tc>
                <w:tcPr>
                  <w:tcW w:w="571" w:type="dxa"/>
                </w:tcPr>
                <w:p w14:paraId="58DA5455" w14:textId="45A7F539"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3</w:t>
                  </w:r>
                </w:p>
              </w:tc>
              <w:tc>
                <w:tcPr>
                  <w:tcW w:w="851" w:type="dxa"/>
                </w:tcPr>
                <w:p w14:paraId="4AE228F4" w14:textId="7DD8174F"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-0.51</w:t>
                  </w:r>
                </w:p>
              </w:tc>
              <w:tc>
                <w:tcPr>
                  <w:tcW w:w="866" w:type="dxa"/>
                </w:tcPr>
                <w:p w14:paraId="6149FDF1" w14:textId="0CB5D8D9"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33.97</w:t>
                  </w:r>
                </w:p>
              </w:tc>
            </w:tr>
            <w:tr w:rsidR="00874525" w14:paraId="69289557" w14:textId="77777777" w:rsidTr="003A63B6">
              <w:trPr>
                <w:jc w:val="center"/>
              </w:trPr>
              <w:tc>
                <w:tcPr>
                  <w:tcW w:w="571" w:type="dxa"/>
                </w:tcPr>
                <w:p w14:paraId="09C307B9" w14:textId="57776061"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4</w:t>
                  </w:r>
                </w:p>
              </w:tc>
              <w:tc>
                <w:tcPr>
                  <w:tcW w:w="851" w:type="dxa"/>
                </w:tcPr>
                <w:p w14:paraId="1A0BFF2E" w14:textId="66032B02"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0.30</w:t>
                  </w:r>
                </w:p>
              </w:tc>
              <w:tc>
                <w:tcPr>
                  <w:tcW w:w="866" w:type="dxa"/>
                </w:tcPr>
                <w:p w14:paraId="59493950" w14:textId="574581C1"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23.06</w:t>
                  </w:r>
                </w:p>
              </w:tc>
            </w:tr>
            <w:tr w:rsidR="00874525" w14:paraId="264277C9" w14:textId="77777777" w:rsidTr="003A63B6">
              <w:trPr>
                <w:jc w:val="center"/>
              </w:trPr>
              <w:tc>
                <w:tcPr>
                  <w:tcW w:w="571" w:type="dxa"/>
                </w:tcPr>
                <w:p w14:paraId="54F61E4B" w14:textId="19B93D76"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5</w:t>
                  </w:r>
                </w:p>
              </w:tc>
              <w:tc>
                <w:tcPr>
                  <w:tcW w:w="851" w:type="dxa"/>
                </w:tcPr>
                <w:p w14:paraId="00F50E79" w14:textId="2295C891"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-0.34</w:t>
                  </w:r>
                </w:p>
              </w:tc>
              <w:tc>
                <w:tcPr>
                  <w:tcW w:w="866" w:type="dxa"/>
                </w:tcPr>
                <w:p w14:paraId="5438E8A9" w14:textId="102C679C"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32.00</w:t>
                  </w:r>
                </w:p>
              </w:tc>
            </w:tr>
            <w:tr w:rsidR="00874525" w14:paraId="5939B240" w14:textId="77777777" w:rsidTr="003A63B6">
              <w:trPr>
                <w:jc w:val="center"/>
              </w:trPr>
              <w:tc>
                <w:tcPr>
                  <w:tcW w:w="571" w:type="dxa"/>
                </w:tcPr>
                <w:p w14:paraId="5EFA1789" w14:textId="727791A2"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6</w:t>
                  </w:r>
                </w:p>
              </w:tc>
              <w:tc>
                <w:tcPr>
                  <w:tcW w:w="851" w:type="dxa"/>
                </w:tcPr>
                <w:p w14:paraId="3B65C17B" w14:textId="673C182C" w:rsidR="00874525" w:rsidRPr="004C229E" w:rsidRDefault="00874525" w:rsidP="00874525">
                  <w:pPr>
                    <w:jc w:val="center"/>
                    <w:rPr>
                      <w:rFonts w:asciiTheme="majorHAnsi" w:hAnsiTheme="majorHAnsi"/>
                      <w:sz w:val="20"/>
                      <w:szCs w:val="20"/>
                    </w:rPr>
                  </w:pPr>
                  <w:r w:rsidRPr="004C28A3">
                    <w:rPr>
                      <w:rFonts w:asciiTheme="majorHAnsi" w:hAnsiTheme="majorHAnsi"/>
                      <w:sz w:val="20"/>
                      <w:szCs w:val="20"/>
                    </w:rPr>
                    <w:t>-1.4</w:t>
                  </w:r>
                  <w:r w:rsidRPr="004C229E">
                    <w:rPr>
                      <w:rFonts w:asciiTheme="majorHAnsi" w:hAnsiTheme="majorHAnsi"/>
                      <w:sz w:val="20"/>
                      <w:szCs w:val="20"/>
                    </w:rPr>
                    <w:t>7</w:t>
                  </w:r>
                </w:p>
              </w:tc>
              <w:tc>
                <w:tcPr>
                  <w:tcW w:w="866" w:type="dxa"/>
                </w:tcPr>
                <w:p w14:paraId="49BC55F0" w14:textId="52AC2530"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43.39</w:t>
                  </w:r>
                </w:p>
              </w:tc>
            </w:tr>
            <w:tr w:rsidR="00874525" w14:paraId="2F51FD85" w14:textId="77777777" w:rsidTr="003A63B6">
              <w:trPr>
                <w:jc w:val="center"/>
              </w:trPr>
              <w:tc>
                <w:tcPr>
                  <w:tcW w:w="571" w:type="dxa"/>
                </w:tcPr>
                <w:p w14:paraId="157827D4" w14:textId="701AF5C6"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7</w:t>
                  </w:r>
                </w:p>
              </w:tc>
              <w:tc>
                <w:tcPr>
                  <w:tcW w:w="851" w:type="dxa"/>
                </w:tcPr>
                <w:p w14:paraId="3D9CBD0B" w14:textId="4FD661D5"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-0.3</w:t>
                  </w:r>
                  <w:r w:rsidRPr="004C229E">
                    <w:rPr>
                      <w:rFonts w:asciiTheme="majorHAnsi" w:hAnsiTheme="majorHAnsi"/>
                      <w:sz w:val="20"/>
                      <w:szCs w:val="20"/>
                    </w:rPr>
                    <w:t>3</w:t>
                  </w:r>
                </w:p>
              </w:tc>
              <w:tc>
                <w:tcPr>
                  <w:tcW w:w="866" w:type="dxa"/>
                </w:tcPr>
                <w:p w14:paraId="410D1E58" w14:textId="114BA0F6"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31.85</w:t>
                  </w:r>
                </w:p>
              </w:tc>
            </w:tr>
            <w:tr w:rsidR="00874525" w14:paraId="22863D17" w14:textId="77777777" w:rsidTr="003A63B6">
              <w:trPr>
                <w:jc w:val="center"/>
              </w:trPr>
              <w:tc>
                <w:tcPr>
                  <w:tcW w:w="571" w:type="dxa"/>
                </w:tcPr>
                <w:p w14:paraId="5C9C4AA3" w14:textId="5553ABEF"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8</w:t>
                  </w:r>
                </w:p>
              </w:tc>
              <w:tc>
                <w:tcPr>
                  <w:tcW w:w="851" w:type="dxa"/>
                </w:tcPr>
                <w:p w14:paraId="72E8327E" w14:textId="4C76C8E2"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-1.33</w:t>
                  </w:r>
                </w:p>
              </w:tc>
              <w:tc>
                <w:tcPr>
                  <w:tcW w:w="866" w:type="dxa"/>
                </w:tcPr>
                <w:p w14:paraId="50E5FF76" w14:textId="5F716E5A"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42.20</w:t>
                  </w:r>
                </w:p>
              </w:tc>
            </w:tr>
            <w:tr w:rsidR="00874525" w14:paraId="74235469" w14:textId="77777777" w:rsidTr="003A63B6">
              <w:trPr>
                <w:jc w:val="center"/>
              </w:trPr>
              <w:tc>
                <w:tcPr>
                  <w:tcW w:w="571" w:type="dxa"/>
                </w:tcPr>
                <w:p w14:paraId="1656FE14" w14:textId="05F7C52C"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9</w:t>
                  </w:r>
                </w:p>
              </w:tc>
              <w:tc>
                <w:tcPr>
                  <w:tcW w:w="851" w:type="dxa"/>
                </w:tcPr>
                <w:p w14:paraId="225DF9DE" w14:textId="1E54E4C9"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-0.3</w:t>
                  </w:r>
                  <w:r w:rsidRPr="004C229E">
                    <w:rPr>
                      <w:rFonts w:asciiTheme="majorHAnsi" w:hAnsiTheme="majorHAnsi"/>
                      <w:sz w:val="20"/>
                      <w:szCs w:val="20"/>
                    </w:rPr>
                    <w:t>3</w:t>
                  </w:r>
                </w:p>
              </w:tc>
              <w:tc>
                <w:tcPr>
                  <w:tcW w:w="866" w:type="dxa"/>
                </w:tcPr>
                <w:p w14:paraId="0A4780C2" w14:textId="1DA34C3D" w:rsidR="00874525" w:rsidRPr="004C229E" w:rsidRDefault="00874525" w:rsidP="00874525">
                  <w:pPr>
                    <w:jc w:val="center"/>
                    <w:rPr>
                      <w:rFonts w:asciiTheme="majorHAnsi" w:hAnsiTheme="majorHAnsi"/>
                      <w:sz w:val="20"/>
                      <w:szCs w:val="20"/>
                    </w:rPr>
                  </w:pPr>
                  <w:r w:rsidRPr="004C28A3">
                    <w:rPr>
                      <w:rFonts w:asciiTheme="majorHAnsi" w:hAnsiTheme="majorHAnsi"/>
                      <w:sz w:val="20"/>
                      <w:szCs w:val="20"/>
                    </w:rPr>
                    <w:t>31.8</w:t>
                  </w:r>
                  <w:r w:rsidRPr="004C229E">
                    <w:rPr>
                      <w:rFonts w:asciiTheme="majorHAnsi" w:hAnsiTheme="majorHAnsi"/>
                      <w:sz w:val="20"/>
                      <w:szCs w:val="20"/>
                    </w:rPr>
                    <w:t>3</w:t>
                  </w:r>
                </w:p>
              </w:tc>
            </w:tr>
            <w:tr w:rsidR="00874525" w14:paraId="30A2D77D" w14:textId="77777777" w:rsidTr="003A63B6">
              <w:trPr>
                <w:jc w:val="center"/>
              </w:trPr>
              <w:tc>
                <w:tcPr>
                  <w:tcW w:w="571" w:type="dxa"/>
                </w:tcPr>
                <w:p w14:paraId="284E5F02" w14:textId="649993E9"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10</w:t>
                  </w:r>
                </w:p>
              </w:tc>
              <w:tc>
                <w:tcPr>
                  <w:tcW w:w="851" w:type="dxa"/>
                </w:tcPr>
                <w:p w14:paraId="619FA90A" w14:textId="2D94F13C"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-0.3</w:t>
                  </w:r>
                  <w:r w:rsidRPr="004C229E">
                    <w:rPr>
                      <w:rFonts w:asciiTheme="majorHAnsi" w:hAnsiTheme="majorHAnsi"/>
                      <w:sz w:val="20"/>
                      <w:szCs w:val="20"/>
                    </w:rPr>
                    <w:t>5</w:t>
                  </w:r>
                </w:p>
              </w:tc>
              <w:tc>
                <w:tcPr>
                  <w:tcW w:w="866" w:type="dxa"/>
                </w:tcPr>
                <w:p w14:paraId="4524D241" w14:textId="51760396" w:rsidR="00874525" w:rsidRPr="004C28A3" w:rsidRDefault="00874525" w:rsidP="00874525">
                  <w:pPr>
                    <w:jc w:val="center"/>
                    <w:rPr>
                      <w:rFonts w:asciiTheme="majorHAnsi" w:hAnsiTheme="majorHAnsi"/>
                      <w:sz w:val="20"/>
                      <w:szCs w:val="20"/>
                    </w:rPr>
                  </w:pPr>
                  <w:r w:rsidRPr="004C28A3">
                    <w:rPr>
                      <w:rFonts w:asciiTheme="majorHAnsi" w:hAnsiTheme="majorHAnsi"/>
                      <w:sz w:val="20"/>
                      <w:szCs w:val="20"/>
                    </w:rPr>
                    <w:t>32.0</w:t>
                  </w:r>
                  <w:r w:rsidRPr="004C229E">
                    <w:rPr>
                      <w:rFonts w:asciiTheme="majorHAnsi" w:hAnsiTheme="majorHAnsi"/>
                      <w:sz w:val="20"/>
                      <w:szCs w:val="20"/>
                    </w:rPr>
                    <w:t>5</w:t>
                  </w:r>
                </w:p>
              </w:tc>
            </w:tr>
          </w:tbl>
          <w:p w14:paraId="706AE119" w14:textId="77777777" w:rsidR="00874525" w:rsidRPr="00FC4482" w:rsidRDefault="00874525" w:rsidP="00874525">
            <w:pPr>
              <w:rPr>
                <w:rFonts w:asciiTheme="majorHAnsi" w:hAnsiTheme="majorHAnsi"/>
                <w:color w:val="FF0000"/>
                <w:sz w:val="20"/>
                <w:szCs w:val="20"/>
              </w:rPr>
            </w:pPr>
          </w:p>
        </w:tc>
      </w:tr>
      <w:tr w:rsidR="00874525" w:rsidRPr="00FC4482" w14:paraId="1556A1A1" w14:textId="77777777" w:rsidTr="00622583">
        <w:trPr>
          <w:trHeight w:val="600"/>
        </w:trPr>
        <w:tc>
          <w:tcPr>
            <w:tcW w:w="681" w:type="dxa"/>
            <w:hideMark/>
          </w:tcPr>
          <w:p w14:paraId="75EB2125"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6.11.</w:t>
            </w:r>
          </w:p>
        </w:tc>
        <w:tc>
          <w:tcPr>
            <w:tcW w:w="3083" w:type="dxa"/>
            <w:hideMark/>
          </w:tcPr>
          <w:p w14:paraId="58638306"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Robustness - Statistics obtained by bootstrap</w:t>
            </w:r>
          </w:p>
        </w:tc>
        <w:tc>
          <w:tcPr>
            <w:tcW w:w="5729" w:type="dxa"/>
            <w:hideMark/>
          </w:tcPr>
          <w:p w14:paraId="7CA65D4F" w14:textId="50809BEB"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874525" w:rsidRPr="00FC4482" w14:paraId="1DCEC52F" w14:textId="77777777" w:rsidTr="00622583">
        <w:trPr>
          <w:trHeight w:val="600"/>
        </w:trPr>
        <w:tc>
          <w:tcPr>
            <w:tcW w:w="681" w:type="dxa"/>
            <w:hideMark/>
          </w:tcPr>
          <w:p w14:paraId="37834FC4"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6.12.</w:t>
            </w:r>
          </w:p>
        </w:tc>
        <w:tc>
          <w:tcPr>
            <w:tcW w:w="3083" w:type="dxa"/>
            <w:hideMark/>
          </w:tcPr>
          <w:p w14:paraId="4397E779"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Robustness - Statistics obtained by other methods</w:t>
            </w:r>
          </w:p>
        </w:tc>
        <w:tc>
          <w:tcPr>
            <w:tcW w:w="5729" w:type="dxa"/>
            <w:hideMark/>
          </w:tcPr>
          <w:p w14:paraId="3597DB8F" w14:textId="1EE4F6F8"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874525" w:rsidRPr="00FC4482" w14:paraId="47373BE6" w14:textId="77777777" w:rsidTr="00D6681A">
        <w:trPr>
          <w:trHeight w:val="1546"/>
        </w:trPr>
        <w:tc>
          <w:tcPr>
            <w:tcW w:w="681" w:type="dxa"/>
            <w:shd w:val="clear" w:color="auto" w:fill="EEECE1" w:themeFill="background2"/>
            <w:hideMark/>
          </w:tcPr>
          <w:p w14:paraId="206F5373"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7</w:t>
            </w:r>
          </w:p>
        </w:tc>
        <w:tc>
          <w:tcPr>
            <w:tcW w:w="3083" w:type="dxa"/>
            <w:shd w:val="clear" w:color="auto" w:fill="EEECE1" w:themeFill="background2"/>
            <w:hideMark/>
          </w:tcPr>
          <w:p w14:paraId="69E11F2B"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predictivity (external validation) – OECD Principle 4: “APPROPRIATE MEASURES OF GOODNESS-OF-FIT, ROBUSTENESS AND PREDICTIVITY”</w:t>
            </w:r>
          </w:p>
        </w:tc>
        <w:tc>
          <w:tcPr>
            <w:tcW w:w="5729" w:type="dxa"/>
            <w:shd w:val="clear" w:color="auto" w:fill="EEECE1" w:themeFill="background2"/>
            <w:hideMark/>
          </w:tcPr>
          <w:p w14:paraId="7C759DE4"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4: “APPROPRIATE MEASURES OF GOODNESS-OF-FIT, ROBUSTENESS AND PREDICTIVITY”. PRINCIPLE 4 expresses the need to perform validation to establish the performance of the model. PREDICTIVITY refers to the external model validation. Section 7 can be repeated (e.g., 7.a, 7.b, 7.c, etc) as many times as necessary if more validation studies need to be reported in the QMRF.</w:t>
            </w:r>
          </w:p>
        </w:tc>
      </w:tr>
      <w:tr w:rsidR="00874525" w:rsidRPr="00FC4482" w14:paraId="774D56F8" w14:textId="77777777" w:rsidTr="00BD55DA">
        <w:trPr>
          <w:trHeight w:val="551"/>
        </w:trPr>
        <w:tc>
          <w:tcPr>
            <w:tcW w:w="681" w:type="dxa"/>
            <w:hideMark/>
          </w:tcPr>
          <w:p w14:paraId="2D01BB0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7.1.</w:t>
            </w:r>
          </w:p>
        </w:tc>
        <w:tc>
          <w:tcPr>
            <w:tcW w:w="3083" w:type="dxa"/>
            <w:hideMark/>
          </w:tcPr>
          <w:p w14:paraId="366FBDA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Availability of the external validation set</w:t>
            </w:r>
          </w:p>
        </w:tc>
        <w:tc>
          <w:tcPr>
            <w:tcW w:w="5729" w:type="dxa"/>
            <w:hideMark/>
          </w:tcPr>
          <w:p w14:paraId="77CC650B" w14:textId="41FBF2C8" w:rsidR="00874525" w:rsidRPr="00FC4482" w:rsidRDefault="00874525" w:rsidP="00874525">
            <w:pPr>
              <w:rPr>
                <w:rFonts w:asciiTheme="majorHAnsi" w:hAnsiTheme="majorHAnsi"/>
                <w:color w:val="FF0000"/>
                <w:sz w:val="20"/>
                <w:szCs w:val="20"/>
              </w:rPr>
            </w:pPr>
            <w:r w:rsidRPr="00804BB7">
              <w:rPr>
                <w:rFonts w:asciiTheme="majorHAnsi" w:hAnsiTheme="majorHAnsi"/>
                <w:sz w:val="20"/>
                <w:szCs w:val="20"/>
              </w:rPr>
              <w:t>The test set is available as a supporting information file of the relevant publication.</w:t>
            </w:r>
          </w:p>
        </w:tc>
      </w:tr>
      <w:tr w:rsidR="00874525" w:rsidRPr="00FC4482" w14:paraId="46D4C7FD" w14:textId="77777777" w:rsidTr="00A24856">
        <w:trPr>
          <w:trHeight w:val="607"/>
        </w:trPr>
        <w:tc>
          <w:tcPr>
            <w:tcW w:w="681" w:type="dxa"/>
            <w:hideMark/>
          </w:tcPr>
          <w:p w14:paraId="6D0E719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7.2.</w:t>
            </w:r>
          </w:p>
        </w:tc>
        <w:tc>
          <w:tcPr>
            <w:tcW w:w="3083" w:type="dxa"/>
            <w:hideMark/>
          </w:tcPr>
          <w:p w14:paraId="5E286D5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Available information for the external validation set</w:t>
            </w:r>
          </w:p>
        </w:tc>
        <w:tc>
          <w:tcPr>
            <w:tcW w:w="5729" w:type="dxa"/>
            <w:hideMark/>
          </w:tcPr>
          <w:p w14:paraId="7F3905B5" w14:textId="14BA38C6" w:rsidR="00874525" w:rsidRPr="00A24856" w:rsidRDefault="00874525" w:rsidP="00874525">
            <w:pPr>
              <w:pStyle w:val="Default"/>
              <w:jc w:val="both"/>
              <w:rPr>
                <w:rFonts w:asciiTheme="majorHAnsi" w:hAnsiTheme="majorHAnsi" w:cstheme="minorBidi"/>
                <w:color w:val="auto"/>
                <w:sz w:val="20"/>
                <w:szCs w:val="20"/>
              </w:rPr>
            </w:pPr>
            <w:r w:rsidRPr="00A24856">
              <w:rPr>
                <w:rFonts w:asciiTheme="majorHAnsi" w:hAnsiTheme="majorHAnsi" w:cstheme="minorBidi"/>
                <w:color w:val="auto"/>
                <w:sz w:val="20"/>
                <w:szCs w:val="20"/>
              </w:rPr>
              <w:t>Nanomaterials dataset</w:t>
            </w:r>
            <w:r>
              <w:rPr>
                <w:rFonts w:asciiTheme="majorHAnsi" w:hAnsiTheme="majorHAnsi" w:cstheme="minorBidi"/>
                <w:color w:val="auto"/>
                <w:sz w:val="20"/>
                <w:szCs w:val="20"/>
              </w:rPr>
              <w:t>.</w:t>
            </w:r>
          </w:p>
          <w:p w14:paraId="4FF6B6EF" w14:textId="459AF0BA" w:rsidR="00874525" w:rsidRPr="00FC4482" w:rsidRDefault="00874525" w:rsidP="00874525">
            <w:pPr>
              <w:rPr>
                <w:rFonts w:asciiTheme="majorHAnsi" w:hAnsiTheme="majorHAnsi"/>
                <w:color w:val="FF0000"/>
                <w:sz w:val="20"/>
                <w:szCs w:val="20"/>
              </w:rPr>
            </w:pPr>
          </w:p>
        </w:tc>
      </w:tr>
      <w:tr w:rsidR="00874525" w:rsidRPr="00FC4482" w14:paraId="2F60F52B" w14:textId="77777777" w:rsidTr="00804BB7">
        <w:trPr>
          <w:trHeight w:val="644"/>
        </w:trPr>
        <w:tc>
          <w:tcPr>
            <w:tcW w:w="681" w:type="dxa"/>
            <w:hideMark/>
          </w:tcPr>
          <w:p w14:paraId="6C09149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7.3.</w:t>
            </w:r>
          </w:p>
        </w:tc>
        <w:tc>
          <w:tcPr>
            <w:tcW w:w="3083" w:type="dxa"/>
            <w:hideMark/>
          </w:tcPr>
          <w:p w14:paraId="3367E35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each descriptor variable for the external validation set</w:t>
            </w:r>
          </w:p>
        </w:tc>
        <w:tc>
          <w:tcPr>
            <w:tcW w:w="5729" w:type="dxa"/>
            <w:hideMark/>
          </w:tcPr>
          <w:p w14:paraId="33892519" w14:textId="425DBC84" w:rsidR="00874525" w:rsidRPr="00FC4482" w:rsidRDefault="00874525" w:rsidP="00874525">
            <w:pPr>
              <w:rPr>
                <w:rFonts w:asciiTheme="majorHAnsi" w:hAnsiTheme="majorHAnsi"/>
                <w:color w:val="FF0000"/>
                <w:sz w:val="20"/>
                <w:szCs w:val="20"/>
              </w:rPr>
            </w:pPr>
            <w:r w:rsidRPr="00804BB7">
              <w:rPr>
                <w:rFonts w:asciiTheme="majorHAnsi" w:hAnsiTheme="majorHAnsi"/>
                <w:sz w:val="20"/>
                <w:szCs w:val="20"/>
              </w:rPr>
              <w:t>The test set is available as a supporting information file of the relevant publication.</w:t>
            </w:r>
          </w:p>
        </w:tc>
      </w:tr>
      <w:tr w:rsidR="00874525" w:rsidRPr="00FC4482" w14:paraId="01025329" w14:textId="77777777" w:rsidTr="00541D62">
        <w:trPr>
          <w:trHeight w:val="564"/>
        </w:trPr>
        <w:tc>
          <w:tcPr>
            <w:tcW w:w="681" w:type="dxa"/>
            <w:hideMark/>
          </w:tcPr>
          <w:p w14:paraId="35AA383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7.4.</w:t>
            </w:r>
          </w:p>
        </w:tc>
        <w:tc>
          <w:tcPr>
            <w:tcW w:w="3083" w:type="dxa"/>
            <w:hideMark/>
          </w:tcPr>
          <w:p w14:paraId="5E3BFF7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the dependent variable for the external validation set</w:t>
            </w:r>
          </w:p>
        </w:tc>
        <w:tc>
          <w:tcPr>
            <w:tcW w:w="5729" w:type="dxa"/>
            <w:hideMark/>
          </w:tcPr>
          <w:p w14:paraId="3EC4050B" w14:textId="55A54E8F" w:rsidR="00874525" w:rsidRPr="00FC4482" w:rsidRDefault="00874525" w:rsidP="00874525">
            <w:pPr>
              <w:rPr>
                <w:rFonts w:asciiTheme="majorHAnsi" w:hAnsiTheme="majorHAnsi"/>
                <w:color w:val="FF0000"/>
                <w:sz w:val="20"/>
                <w:szCs w:val="20"/>
              </w:rPr>
            </w:pPr>
            <w:r w:rsidRPr="00804BB7">
              <w:rPr>
                <w:rFonts w:asciiTheme="majorHAnsi" w:hAnsiTheme="majorHAnsi"/>
                <w:sz w:val="20"/>
                <w:szCs w:val="20"/>
              </w:rPr>
              <w:t>The test set is available as a supporting information file of the relevant publication.</w:t>
            </w:r>
          </w:p>
        </w:tc>
      </w:tr>
      <w:tr w:rsidR="00874525" w:rsidRPr="00FC4482" w14:paraId="46B04810" w14:textId="77777777" w:rsidTr="00541D62">
        <w:trPr>
          <w:trHeight w:val="544"/>
        </w:trPr>
        <w:tc>
          <w:tcPr>
            <w:tcW w:w="681" w:type="dxa"/>
            <w:hideMark/>
          </w:tcPr>
          <w:p w14:paraId="513D0F6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7.5.</w:t>
            </w:r>
          </w:p>
        </w:tc>
        <w:tc>
          <w:tcPr>
            <w:tcW w:w="3083" w:type="dxa"/>
            <w:hideMark/>
          </w:tcPr>
          <w:p w14:paraId="2E84D58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Other information about the external validation set</w:t>
            </w:r>
          </w:p>
        </w:tc>
        <w:tc>
          <w:tcPr>
            <w:tcW w:w="5729" w:type="dxa"/>
            <w:hideMark/>
          </w:tcPr>
          <w:p w14:paraId="38FFC188" w14:textId="10F81ABA" w:rsidR="00874525" w:rsidRPr="00FC4482" w:rsidRDefault="00874525" w:rsidP="00874525">
            <w:pPr>
              <w:rPr>
                <w:rFonts w:asciiTheme="majorHAnsi" w:hAnsiTheme="majorHAnsi"/>
                <w:color w:val="FF0000"/>
                <w:sz w:val="20"/>
                <w:szCs w:val="20"/>
              </w:rPr>
            </w:pPr>
            <w:r w:rsidRPr="00A8161D">
              <w:rPr>
                <w:rFonts w:asciiTheme="majorHAnsi" w:hAnsiTheme="majorHAnsi"/>
                <w:sz w:val="20"/>
                <w:szCs w:val="20"/>
              </w:rPr>
              <w:t>External test set with 18 compounds appended.</w:t>
            </w:r>
          </w:p>
        </w:tc>
      </w:tr>
      <w:tr w:rsidR="00874525" w:rsidRPr="00FC4482" w14:paraId="417ADB4D" w14:textId="77777777" w:rsidTr="00052D8E">
        <w:trPr>
          <w:trHeight w:val="444"/>
        </w:trPr>
        <w:tc>
          <w:tcPr>
            <w:tcW w:w="681" w:type="dxa"/>
            <w:hideMark/>
          </w:tcPr>
          <w:p w14:paraId="73C9567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7.6.</w:t>
            </w:r>
          </w:p>
        </w:tc>
        <w:tc>
          <w:tcPr>
            <w:tcW w:w="3083" w:type="dxa"/>
            <w:hideMark/>
          </w:tcPr>
          <w:p w14:paraId="0E0800F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Experimental design of test set</w:t>
            </w:r>
          </w:p>
        </w:tc>
        <w:tc>
          <w:tcPr>
            <w:tcW w:w="5729" w:type="dxa"/>
            <w:hideMark/>
          </w:tcPr>
          <w:p w14:paraId="6419811B" w14:textId="1D5521C9" w:rsidR="00874525" w:rsidRPr="00BF3A52" w:rsidRDefault="00874525" w:rsidP="00874525">
            <w:pPr>
              <w:pStyle w:val="Default"/>
              <w:jc w:val="both"/>
              <w:rPr>
                <w:rFonts w:asciiTheme="majorHAnsi" w:hAnsiTheme="majorHAnsi" w:cstheme="minorBidi"/>
                <w:color w:val="auto"/>
                <w:sz w:val="20"/>
                <w:szCs w:val="20"/>
              </w:rPr>
            </w:pPr>
            <w:r w:rsidRPr="00855DE3">
              <w:rPr>
                <w:rFonts w:asciiTheme="majorHAnsi" w:hAnsiTheme="majorHAnsi" w:cstheme="minorBidi"/>
                <w:color w:val="auto"/>
                <w:sz w:val="20"/>
                <w:szCs w:val="20"/>
              </w:rPr>
              <w:t xml:space="preserve">Random selection of </w:t>
            </w:r>
            <w:r>
              <w:rPr>
                <w:rFonts w:asciiTheme="majorHAnsi" w:hAnsiTheme="majorHAnsi" w:cstheme="minorBidi"/>
                <w:color w:val="auto"/>
                <w:sz w:val="20"/>
                <w:szCs w:val="20"/>
              </w:rPr>
              <w:t>NM samples</w:t>
            </w:r>
            <w:r w:rsidRPr="00855DE3">
              <w:rPr>
                <w:rFonts w:asciiTheme="majorHAnsi" w:hAnsiTheme="majorHAnsi" w:cstheme="minorBidi"/>
                <w:color w:val="auto"/>
                <w:sz w:val="20"/>
                <w:szCs w:val="20"/>
              </w:rPr>
              <w:t xml:space="preserve"> before modelling (</w:t>
            </w:r>
            <w:r>
              <w:rPr>
                <w:rFonts w:asciiTheme="majorHAnsi" w:hAnsiTheme="majorHAnsi" w:cstheme="minorBidi"/>
                <w:color w:val="auto"/>
                <w:sz w:val="20"/>
                <w:szCs w:val="20"/>
              </w:rPr>
              <w:t>25</w:t>
            </w:r>
            <w:r w:rsidRPr="00855DE3">
              <w:rPr>
                <w:rFonts w:asciiTheme="majorHAnsi" w:hAnsiTheme="majorHAnsi" w:cstheme="minorBidi"/>
                <w:color w:val="auto"/>
                <w:sz w:val="20"/>
                <w:szCs w:val="20"/>
              </w:rPr>
              <w:t xml:space="preserve">% of the original set). </w:t>
            </w:r>
          </w:p>
        </w:tc>
      </w:tr>
      <w:tr w:rsidR="00874525" w:rsidRPr="00FC4482" w14:paraId="3652CA9F" w14:textId="77777777" w:rsidTr="00C86FE5">
        <w:trPr>
          <w:trHeight w:val="3897"/>
        </w:trPr>
        <w:tc>
          <w:tcPr>
            <w:tcW w:w="681" w:type="dxa"/>
            <w:hideMark/>
          </w:tcPr>
          <w:p w14:paraId="213BE16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7.7.</w:t>
            </w:r>
          </w:p>
        </w:tc>
        <w:tc>
          <w:tcPr>
            <w:tcW w:w="3083" w:type="dxa"/>
            <w:hideMark/>
          </w:tcPr>
          <w:p w14:paraId="1144053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Predictivity - Statistics obtained by external validation</w:t>
            </w:r>
          </w:p>
        </w:tc>
        <w:tc>
          <w:tcPr>
            <w:tcW w:w="5729" w:type="dxa"/>
            <w:hideMark/>
          </w:tcPr>
          <w:p w14:paraId="1E6061C5" w14:textId="5B2E8647" w:rsidR="00874525" w:rsidRPr="007D5036" w:rsidRDefault="00874525" w:rsidP="00874525">
            <w:pPr>
              <w:rPr>
                <w:rFonts w:asciiTheme="majorHAnsi" w:hAnsiTheme="majorHAnsi"/>
                <w:sz w:val="20"/>
                <w:szCs w:val="20"/>
              </w:rPr>
            </w:pPr>
            <w:r w:rsidRPr="007D5036">
              <w:rPr>
                <w:rFonts w:asciiTheme="majorHAnsi" w:hAnsiTheme="majorHAnsi"/>
                <w:sz w:val="20"/>
                <w:szCs w:val="20"/>
              </w:rPr>
              <w:t>R</w:t>
            </w:r>
            <w:r w:rsidRPr="007D5036">
              <w:rPr>
                <w:rFonts w:asciiTheme="majorHAnsi" w:hAnsiTheme="majorHAnsi"/>
                <w:sz w:val="20"/>
                <w:szCs w:val="20"/>
                <w:vertAlign w:val="superscript"/>
              </w:rPr>
              <w:t>2</w:t>
            </w:r>
            <w:r w:rsidRPr="007D5036">
              <w:rPr>
                <w:rFonts w:asciiTheme="majorHAnsi" w:hAnsiTheme="majorHAnsi"/>
                <w:sz w:val="20"/>
                <w:szCs w:val="20"/>
              </w:rPr>
              <w:t xml:space="preserve"> = 0.8</w:t>
            </w:r>
            <w:r w:rsidR="00682005">
              <w:rPr>
                <w:rFonts w:asciiTheme="majorHAnsi" w:hAnsiTheme="majorHAnsi"/>
                <w:sz w:val="20"/>
                <w:szCs w:val="20"/>
              </w:rPr>
              <w:t>8</w:t>
            </w:r>
          </w:p>
          <w:p w14:paraId="7293833A" w14:textId="482959F5" w:rsidR="00874525" w:rsidRPr="007D5036" w:rsidRDefault="00874525" w:rsidP="00874525">
            <w:pPr>
              <w:rPr>
                <w:rFonts w:asciiTheme="majorHAnsi" w:hAnsiTheme="majorHAnsi"/>
                <w:sz w:val="20"/>
                <w:szCs w:val="20"/>
              </w:rPr>
            </w:pPr>
            <w:r w:rsidRPr="007D5036">
              <w:rPr>
                <w:rFonts w:asciiTheme="majorHAnsi" w:hAnsiTheme="majorHAnsi"/>
                <w:sz w:val="20"/>
                <w:szCs w:val="20"/>
              </w:rPr>
              <w:t>Adjusted R</w:t>
            </w:r>
            <w:r w:rsidRPr="007D5036">
              <w:rPr>
                <w:rFonts w:asciiTheme="majorHAnsi" w:hAnsiTheme="majorHAnsi"/>
                <w:sz w:val="20"/>
                <w:szCs w:val="20"/>
                <w:vertAlign w:val="superscript"/>
              </w:rPr>
              <w:t>2</w:t>
            </w:r>
            <w:r w:rsidRPr="007D5036">
              <w:rPr>
                <w:rFonts w:asciiTheme="majorHAnsi" w:hAnsiTheme="majorHAnsi"/>
                <w:sz w:val="20"/>
                <w:szCs w:val="20"/>
              </w:rPr>
              <w:t xml:space="preserve"> = 0.8</w:t>
            </w:r>
            <w:r w:rsidR="00682005">
              <w:rPr>
                <w:rFonts w:asciiTheme="majorHAnsi" w:hAnsiTheme="majorHAnsi"/>
                <w:sz w:val="20"/>
                <w:szCs w:val="20"/>
              </w:rPr>
              <w:t>8</w:t>
            </w:r>
          </w:p>
          <w:p w14:paraId="201E3EE9" w14:textId="39BADAE0" w:rsidR="00874525" w:rsidRPr="007D5036" w:rsidRDefault="00874525" w:rsidP="00874525">
            <w:pPr>
              <w:rPr>
                <w:rFonts w:asciiTheme="majorHAnsi" w:hAnsiTheme="majorHAnsi"/>
                <w:sz w:val="20"/>
                <w:szCs w:val="20"/>
              </w:rPr>
            </w:pPr>
            <w:r w:rsidRPr="007D5036">
              <w:rPr>
                <w:rFonts w:asciiTheme="majorHAnsi" w:hAnsiTheme="majorHAnsi"/>
                <w:sz w:val="20"/>
                <w:szCs w:val="20"/>
              </w:rPr>
              <w:t>MAE = 7.8</w:t>
            </w:r>
            <w:r w:rsidR="00682005">
              <w:rPr>
                <w:rFonts w:asciiTheme="majorHAnsi" w:hAnsiTheme="majorHAnsi"/>
                <w:sz w:val="20"/>
                <w:szCs w:val="20"/>
              </w:rPr>
              <w:t>1</w:t>
            </w:r>
          </w:p>
          <w:p w14:paraId="4360276B" w14:textId="506BA169" w:rsidR="00874525" w:rsidRPr="007D5036" w:rsidRDefault="00874525" w:rsidP="00874525">
            <w:pPr>
              <w:rPr>
                <w:rFonts w:asciiTheme="majorHAnsi" w:hAnsiTheme="majorHAnsi"/>
                <w:sz w:val="20"/>
                <w:szCs w:val="20"/>
              </w:rPr>
            </w:pPr>
            <w:r w:rsidRPr="007D5036">
              <w:rPr>
                <w:rFonts w:asciiTheme="majorHAnsi" w:hAnsiTheme="majorHAnsi"/>
                <w:sz w:val="20"/>
                <w:szCs w:val="20"/>
              </w:rPr>
              <w:t>RMSE = 9.71</w:t>
            </w:r>
          </w:p>
          <w:p w14:paraId="5AD5053E" w14:textId="4C1C1169" w:rsidR="00874525" w:rsidRDefault="00874525" w:rsidP="00874525">
            <w:pPr>
              <w:spacing w:after="240"/>
              <w:rPr>
                <w:rFonts w:asciiTheme="majorHAnsi" w:hAnsiTheme="majorHAnsi"/>
                <w:sz w:val="20"/>
                <w:szCs w:val="20"/>
              </w:rPr>
            </w:pPr>
            <w:r w:rsidRPr="007D5036">
              <w:rPr>
                <w:rFonts w:asciiTheme="majorHAnsi" w:hAnsiTheme="majorHAnsi"/>
                <w:sz w:val="20"/>
                <w:szCs w:val="20"/>
              </w:rPr>
              <w:t>Q</w:t>
            </w:r>
            <w:r w:rsidRPr="007D5036">
              <w:rPr>
                <w:rFonts w:asciiTheme="majorHAnsi" w:hAnsiTheme="majorHAnsi"/>
                <w:sz w:val="20"/>
                <w:szCs w:val="20"/>
                <w:vertAlign w:val="superscript"/>
              </w:rPr>
              <w:t>2</w:t>
            </w:r>
            <w:r w:rsidRPr="007D5036">
              <w:rPr>
                <w:rFonts w:asciiTheme="majorHAnsi" w:hAnsiTheme="majorHAnsi"/>
                <w:sz w:val="20"/>
                <w:szCs w:val="20"/>
                <w:vertAlign w:val="subscript"/>
              </w:rPr>
              <w:t>ext</w:t>
            </w:r>
            <w:r w:rsidRPr="007D5036">
              <w:rPr>
                <w:rFonts w:asciiTheme="majorHAnsi" w:hAnsiTheme="majorHAnsi"/>
                <w:sz w:val="20"/>
                <w:szCs w:val="20"/>
              </w:rPr>
              <w:t xml:space="preserve"> = 0.88</w:t>
            </w:r>
          </w:p>
          <w:p w14:paraId="3936FF67" w14:textId="77777777" w:rsidR="00874525" w:rsidRDefault="00874525" w:rsidP="00874525">
            <w:pPr>
              <w:rPr>
                <w:rFonts w:asciiTheme="majorHAnsi" w:hAnsiTheme="majorHAnsi"/>
                <w:sz w:val="20"/>
                <w:szCs w:val="20"/>
              </w:rPr>
            </w:pPr>
            <w:proofErr w:type="spellStart"/>
            <w:r w:rsidRPr="004C229E">
              <w:rPr>
                <w:rFonts w:asciiTheme="majorHAnsi" w:hAnsiTheme="majorHAnsi"/>
                <w:sz w:val="20"/>
                <w:szCs w:val="20"/>
              </w:rPr>
              <w:t>Golbraikh</w:t>
            </w:r>
            <w:proofErr w:type="spellEnd"/>
            <w:r w:rsidRPr="004C229E">
              <w:rPr>
                <w:rFonts w:asciiTheme="majorHAnsi" w:hAnsiTheme="majorHAnsi"/>
                <w:sz w:val="20"/>
                <w:szCs w:val="20"/>
              </w:rPr>
              <w:t xml:space="preserve"> and </w:t>
            </w:r>
            <w:proofErr w:type="spellStart"/>
            <w:r w:rsidRPr="004C229E">
              <w:rPr>
                <w:rFonts w:asciiTheme="majorHAnsi" w:hAnsiTheme="majorHAnsi"/>
                <w:sz w:val="20"/>
                <w:szCs w:val="20"/>
              </w:rPr>
              <w:t>Tropsha</w:t>
            </w:r>
            <w:proofErr w:type="spellEnd"/>
            <w:r>
              <w:rPr>
                <w:rStyle w:val="FootnoteReference"/>
                <w:szCs w:val="20"/>
              </w:rPr>
              <w:footnoteReference w:id="1"/>
            </w:r>
            <w:r w:rsidRPr="004C229E">
              <w:rPr>
                <w:rFonts w:asciiTheme="majorHAnsi" w:hAnsiTheme="majorHAnsi"/>
                <w:sz w:val="20"/>
                <w:szCs w:val="20"/>
              </w:rPr>
              <w:t xml:space="preserve"> test results</w:t>
            </w:r>
            <w:r>
              <w:rPr>
                <w:rFonts w:asciiTheme="majorHAnsi" w:hAnsiTheme="majorHAnsi"/>
                <w:sz w:val="20"/>
                <w:szCs w:val="20"/>
              </w:rPr>
              <w:t>:</w:t>
            </w:r>
          </w:p>
          <w:p w14:paraId="0DF0F121" w14:textId="77777777" w:rsidR="00874525" w:rsidRDefault="00874525" w:rsidP="00874525">
            <w:pPr>
              <w:rPr>
                <w:rFonts w:asciiTheme="majorHAnsi" w:hAnsiTheme="majorHAnsi"/>
                <w:sz w:val="20"/>
                <w:szCs w:val="20"/>
              </w:rPr>
            </w:pPr>
            <w:r>
              <w:rPr>
                <w:noProof/>
              </w:rPr>
              <w:drawing>
                <wp:inline distT="0" distB="0" distL="0" distR="0" wp14:anchorId="6F5F493D" wp14:editId="3589A997">
                  <wp:extent cx="3075054" cy="1395730"/>
                  <wp:effectExtent l="0" t="0" r="0" b="0"/>
                  <wp:docPr id="1871535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64448" name=""/>
                          <pic:cNvPicPr/>
                        </pic:nvPicPr>
                        <pic:blipFill>
                          <a:blip r:embed="rId14"/>
                          <a:stretch>
                            <a:fillRect/>
                          </a:stretch>
                        </pic:blipFill>
                        <pic:spPr>
                          <a:xfrm>
                            <a:off x="0" y="0"/>
                            <a:ext cx="3096338" cy="1405390"/>
                          </a:xfrm>
                          <a:prstGeom prst="rect">
                            <a:avLst/>
                          </a:prstGeom>
                        </pic:spPr>
                      </pic:pic>
                    </a:graphicData>
                  </a:graphic>
                </wp:inline>
              </w:drawing>
            </w:r>
          </w:p>
          <w:p w14:paraId="7989CB8D" w14:textId="3F46E8DE" w:rsidR="00874525" w:rsidRPr="00FC4482" w:rsidRDefault="00874525" w:rsidP="00874525">
            <w:pPr>
              <w:rPr>
                <w:rFonts w:asciiTheme="majorHAnsi" w:hAnsiTheme="majorHAnsi"/>
                <w:color w:val="FF0000"/>
                <w:sz w:val="20"/>
                <w:szCs w:val="20"/>
              </w:rPr>
            </w:pPr>
          </w:p>
        </w:tc>
      </w:tr>
      <w:tr w:rsidR="00874525" w:rsidRPr="00FC4482" w14:paraId="4594924F" w14:textId="77777777" w:rsidTr="00CF73CA">
        <w:trPr>
          <w:trHeight w:val="1314"/>
        </w:trPr>
        <w:tc>
          <w:tcPr>
            <w:tcW w:w="681" w:type="dxa"/>
            <w:hideMark/>
          </w:tcPr>
          <w:p w14:paraId="21340CE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7.8.</w:t>
            </w:r>
          </w:p>
        </w:tc>
        <w:tc>
          <w:tcPr>
            <w:tcW w:w="3083" w:type="dxa"/>
            <w:hideMark/>
          </w:tcPr>
          <w:p w14:paraId="64DFDD4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Predictivity - Assessment of the external validation set</w:t>
            </w:r>
          </w:p>
        </w:tc>
        <w:tc>
          <w:tcPr>
            <w:tcW w:w="5729" w:type="dxa"/>
            <w:hideMark/>
          </w:tcPr>
          <w:p w14:paraId="2688205E" w14:textId="284E9014" w:rsidR="00CF73CA" w:rsidRPr="00CF73CA" w:rsidRDefault="00CF73CA" w:rsidP="00CF73CA">
            <w:pPr>
              <w:rPr>
                <w:rFonts w:asciiTheme="majorHAnsi" w:hAnsiTheme="majorHAnsi"/>
                <w:sz w:val="20"/>
                <w:szCs w:val="20"/>
              </w:rPr>
            </w:pPr>
            <w:r w:rsidRPr="00CF73CA">
              <w:rPr>
                <w:rFonts w:asciiTheme="majorHAnsi" w:hAnsiTheme="majorHAnsi"/>
                <w:sz w:val="20"/>
                <w:szCs w:val="20"/>
              </w:rPr>
              <w:t>The test set is the 25% of the original data. The leverage threshold was calculated based on the training NMs subset and set to 0.226. The test NM samples had values within the range of 0.031 to 0.191, indicating that their predictions were reliable except the one NM sample whose leverage value was equal to 0.859.</w:t>
            </w:r>
          </w:p>
          <w:p w14:paraId="7B389AB9" w14:textId="4F4E8499" w:rsidR="00874525" w:rsidRPr="00FC4482" w:rsidRDefault="00874525" w:rsidP="00874525">
            <w:pPr>
              <w:rPr>
                <w:rFonts w:asciiTheme="majorHAnsi" w:hAnsiTheme="majorHAnsi"/>
                <w:color w:val="FF0000"/>
                <w:sz w:val="20"/>
                <w:szCs w:val="20"/>
              </w:rPr>
            </w:pPr>
          </w:p>
        </w:tc>
      </w:tr>
      <w:tr w:rsidR="00874525" w:rsidRPr="00FC4482" w14:paraId="0CD7698D" w14:textId="77777777" w:rsidTr="00622583">
        <w:trPr>
          <w:trHeight w:val="600"/>
        </w:trPr>
        <w:tc>
          <w:tcPr>
            <w:tcW w:w="681" w:type="dxa"/>
            <w:hideMark/>
          </w:tcPr>
          <w:p w14:paraId="6FBDB82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7.9.</w:t>
            </w:r>
          </w:p>
        </w:tc>
        <w:tc>
          <w:tcPr>
            <w:tcW w:w="3083" w:type="dxa"/>
            <w:hideMark/>
          </w:tcPr>
          <w:p w14:paraId="5C4E15F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Comments on the external validation of the model</w:t>
            </w:r>
          </w:p>
        </w:tc>
        <w:tc>
          <w:tcPr>
            <w:tcW w:w="5729" w:type="dxa"/>
            <w:hideMark/>
          </w:tcPr>
          <w:p w14:paraId="3AACA8E0" w14:textId="0088742A" w:rsidR="00874525" w:rsidRPr="00FC4482" w:rsidRDefault="00014086"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874525" w:rsidRPr="00FC4482" w14:paraId="1EE7F914" w14:textId="77777777" w:rsidTr="00622583">
        <w:trPr>
          <w:trHeight w:val="945"/>
        </w:trPr>
        <w:tc>
          <w:tcPr>
            <w:tcW w:w="681" w:type="dxa"/>
            <w:shd w:val="clear" w:color="auto" w:fill="EEECE1" w:themeFill="background2"/>
            <w:hideMark/>
          </w:tcPr>
          <w:p w14:paraId="3EF90756"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8</w:t>
            </w:r>
          </w:p>
        </w:tc>
        <w:tc>
          <w:tcPr>
            <w:tcW w:w="3083" w:type="dxa"/>
            <w:shd w:val="clear" w:color="auto" w:fill="EEECE1" w:themeFill="background2"/>
            <w:hideMark/>
          </w:tcPr>
          <w:p w14:paraId="729B4229"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Providing a mechanistic interpretation - OECD Principle 5: “A MECHANISTIC INTERPRETATION, IF POSSIBLE”</w:t>
            </w:r>
          </w:p>
        </w:tc>
        <w:tc>
          <w:tcPr>
            <w:tcW w:w="5729" w:type="dxa"/>
            <w:shd w:val="clear" w:color="auto" w:fill="EEECE1" w:themeFill="background2"/>
            <w:hideMark/>
          </w:tcPr>
          <w:p w14:paraId="49460984"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5: “A MECHANISTIC INTERPRETATION, IF POSSIBLE”. According to PRINCIPLE 5, a (Q)SAR should be associated with a mechanistic interpretation, if possible.</w:t>
            </w:r>
          </w:p>
        </w:tc>
      </w:tr>
      <w:tr w:rsidR="00874525" w:rsidRPr="00FC4482" w14:paraId="41B0AD77" w14:textId="77777777" w:rsidTr="00EF4271">
        <w:trPr>
          <w:trHeight w:val="3548"/>
        </w:trPr>
        <w:tc>
          <w:tcPr>
            <w:tcW w:w="681" w:type="dxa"/>
            <w:hideMark/>
          </w:tcPr>
          <w:p w14:paraId="444B2BD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8.1.</w:t>
            </w:r>
          </w:p>
        </w:tc>
        <w:tc>
          <w:tcPr>
            <w:tcW w:w="3083" w:type="dxa"/>
            <w:hideMark/>
          </w:tcPr>
          <w:p w14:paraId="12DE8E9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Mechanistic basis of the model</w:t>
            </w:r>
          </w:p>
        </w:tc>
        <w:tc>
          <w:tcPr>
            <w:tcW w:w="5729" w:type="dxa"/>
            <w:hideMark/>
          </w:tcPr>
          <w:p w14:paraId="7F10C709" w14:textId="41B74FBC" w:rsidR="00874525" w:rsidRPr="00FC4482" w:rsidRDefault="00CC55BF" w:rsidP="00874525">
            <w:pPr>
              <w:rPr>
                <w:rFonts w:asciiTheme="majorHAnsi" w:hAnsiTheme="majorHAnsi"/>
                <w:color w:val="FF0000"/>
                <w:sz w:val="20"/>
                <w:szCs w:val="20"/>
              </w:rPr>
            </w:pPr>
            <w:r w:rsidRPr="00CC55BF">
              <w:rPr>
                <w:rFonts w:asciiTheme="majorHAnsi" w:hAnsiTheme="majorHAnsi"/>
                <w:sz w:val="20"/>
                <w:szCs w:val="20"/>
              </w:rPr>
              <w:t xml:space="preserve">The Stern and diffusion layers, as well as the distance from the bare NM's surface where its charge will persist, are determined by the NM's core size. The NM coating influences the measured zeta potential. If the coating is sufficiently thick, it may disguise the bare NM's surface charge, and the observed zeta potential will be determined by the coating charge. If the coating is not thick enough, the observed zeta potential will be caused by an interaction between the coating charge and thickness and the base NM surface charge. </w:t>
            </w:r>
            <w:r w:rsidR="005A07B3" w:rsidRPr="00CC55BF">
              <w:rPr>
                <w:rFonts w:asciiTheme="majorHAnsi" w:hAnsiTheme="majorHAnsi"/>
                <w:sz w:val="20"/>
                <w:szCs w:val="20"/>
              </w:rPr>
              <w:t xml:space="preserve">The shape is also a critical parameter for NMs zeta potential: non-spherical particles can exhibit slightly different zeta potential values compared to spherical ones due to varying surface area distribution and potential interactions between different facets of the NM. The balance between the Hamaker constant (expressing van der Waals attraction between particles) and the ZP values of particles (expressing their electrostatic repulsion) controls the stability of colloidal dispersions according to the DLVO theory. </w:t>
            </w:r>
          </w:p>
        </w:tc>
      </w:tr>
      <w:tr w:rsidR="00874525" w:rsidRPr="00FC4482" w14:paraId="160888F8" w14:textId="77777777" w:rsidTr="00D457CA">
        <w:trPr>
          <w:trHeight w:val="666"/>
        </w:trPr>
        <w:tc>
          <w:tcPr>
            <w:tcW w:w="681" w:type="dxa"/>
            <w:hideMark/>
          </w:tcPr>
          <w:p w14:paraId="31FB783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8.2.</w:t>
            </w:r>
          </w:p>
        </w:tc>
        <w:tc>
          <w:tcPr>
            <w:tcW w:w="3083" w:type="dxa"/>
            <w:hideMark/>
          </w:tcPr>
          <w:p w14:paraId="173E87A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 priori or a posteriori mechanistic interpretation</w:t>
            </w:r>
          </w:p>
        </w:tc>
        <w:tc>
          <w:tcPr>
            <w:tcW w:w="5729" w:type="dxa"/>
            <w:hideMark/>
          </w:tcPr>
          <w:p w14:paraId="54E5FC2F" w14:textId="2D4DDD46" w:rsidR="00874525" w:rsidRPr="00D457CA" w:rsidRDefault="00874525" w:rsidP="00874525">
            <w:pPr>
              <w:rPr>
                <w:rFonts w:asciiTheme="majorHAnsi" w:hAnsiTheme="majorHAnsi"/>
                <w:sz w:val="20"/>
                <w:szCs w:val="20"/>
              </w:rPr>
            </w:pPr>
            <w:r w:rsidRPr="00D457CA">
              <w:rPr>
                <w:rFonts w:asciiTheme="majorHAnsi" w:hAnsiTheme="majorHAnsi"/>
                <w:sz w:val="20"/>
                <w:szCs w:val="20"/>
              </w:rPr>
              <w:t>A posteriori mechanistic interpretation</w:t>
            </w:r>
            <w:r w:rsidR="00D457CA" w:rsidRPr="00D457CA">
              <w:rPr>
                <w:rFonts w:asciiTheme="majorHAnsi" w:hAnsiTheme="majorHAnsi"/>
                <w:sz w:val="20"/>
                <w:szCs w:val="20"/>
              </w:rPr>
              <w:t>.</w:t>
            </w:r>
          </w:p>
        </w:tc>
      </w:tr>
      <w:tr w:rsidR="00874525" w:rsidRPr="00FC4482" w14:paraId="5494B142" w14:textId="77777777" w:rsidTr="00777094">
        <w:trPr>
          <w:trHeight w:val="556"/>
        </w:trPr>
        <w:tc>
          <w:tcPr>
            <w:tcW w:w="681" w:type="dxa"/>
            <w:hideMark/>
          </w:tcPr>
          <w:p w14:paraId="607B492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8.3.</w:t>
            </w:r>
          </w:p>
        </w:tc>
        <w:tc>
          <w:tcPr>
            <w:tcW w:w="3083" w:type="dxa"/>
            <w:hideMark/>
          </w:tcPr>
          <w:p w14:paraId="74B2BD8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Other information about the mechanistic interpretation</w:t>
            </w:r>
          </w:p>
        </w:tc>
        <w:tc>
          <w:tcPr>
            <w:tcW w:w="5729" w:type="dxa"/>
            <w:hideMark/>
          </w:tcPr>
          <w:p w14:paraId="081CD143" w14:textId="7055E343"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874525" w:rsidRPr="004D1C5E" w14:paraId="13163410" w14:textId="77777777" w:rsidTr="00622583">
        <w:trPr>
          <w:trHeight w:val="315"/>
        </w:trPr>
        <w:tc>
          <w:tcPr>
            <w:tcW w:w="681" w:type="dxa"/>
            <w:shd w:val="clear" w:color="auto" w:fill="EEECE1" w:themeFill="background2"/>
            <w:hideMark/>
          </w:tcPr>
          <w:p w14:paraId="67611A79"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9</w:t>
            </w:r>
          </w:p>
        </w:tc>
        <w:tc>
          <w:tcPr>
            <w:tcW w:w="3083" w:type="dxa"/>
            <w:shd w:val="clear" w:color="auto" w:fill="EEECE1" w:themeFill="background2"/>
            <w:hideMark/>
          </w:tcPr>
          <w:p w14:paraId="13418A92"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Miscellaneous information</w:t>
            </w:r>
          </w:p>
        </w:tc>
        <w:tc>
          <w:tcPr>
            <w:tcW w:w="5729" w:type="dxa"/>
            <w:shd w:val="clear" w:color="auto" w:fill="EEECE1" w:themeFill="background2"/>
            <w:hideMark/>
          </w:tcPr>
          <w:p w14:paraId="546DCB1F"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 </w:t>
            </w:r>
          </w:p>
        </w:tc>
      </w:tr>
      <w:tr w:rsidR="00874525" w:rsidRPr="00FC4482" w14:paraId="7088BC7A" w14:textId="77777777" w:rsidTr="00F13AC8">
        <w:trPr>
          <w:trHeight w:val="441"/>
        </w:trPr>
        <w:tc>
          <w:tcPr>
            <w:tcW w:w="681" w:type="dxa"/>
            <w:hideMark/>
          </w:tcPr>
          <w:p w14:paraId="55D80E72"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9.1.</w:t>
            </w:r>
          </w:p>
        </w:tc>
        <w:tc>
          <w:tcPr>
            <w:tcW w:w="3083" w:type="dxa"/>
            <w:hideMark/>
          </w:tcPr>
          <w:p w14:paraId="5CAF13F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Comments</w:t>
            </w:r>
          </w:p>
        </w:tc>
        <w:tc>
          <w:tcPr>
            <w:tcW w:w="5729" w:type="dxa"/>
            <w:hideMark/>
          </w:tcPr>
          <w:p w14:paraId="439CC6F0" w14:textId="46C2DA23"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874525" w:rsidRPr="00FC4482" w14:paraId="2FD779DE" w14:textId="77777777" w:rsidTr="003E7944">
        <w:trPr>
          <w:trHeight w:val="430"/>
        </w:trPr>
        <w:tc>
          <w:tcPr>
            <w:tcW w:w="681" w:type="dxa"/>
            <w:hideMark/>
          </w:tcPr>
          <w:p w14:paraId="48B3859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9.2.</w:t>
            </w:r>
          </w:p>
        </w:tc>
        <w:tc>
          <w:tcPr>
            <w:tcW w:w="3083" w:type="dxa"/>
            <w:hideMark/>
          </w:tcPr>
          <w:p w14:paraId="2A19A41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Bibliography</w:t>
            </w:r>
          </w:p>
        </w:tc>
        <w:tc>
          <w:tcPr>
            <w:tcW w:w="5729" w:type="dxa"/>
            <w:hideMark/>
          </w:tcPr>
          <w:p w14:paraId="34B8C7D8" w14:textId="74092B70"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874525" w:rsidRPr="00FC4482" w14:paraId="1B542A93" w14:textId="77777777" w:rsidTr="003E7944">
        <w:trPr>
          <w:trHeight w:val="452"/>
        </w:trPr>
        <w:tc>
          <w:tcPr>
            <w:tcW w:w="681" w:type="dxa"/>
            <w:hideMark/>
          </w:tcPr>
          <w:p w14:paraId="786B0FA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9.3</w:t>
            </w:r>
          </w:p>
        </w:tc>
        <w:tc>
          <w:tcPr>
            <w:tcW w:w="3083" w:type="dxa"/>
            <w:hideMark/>
          </w:tcPr>
          <w:p w14:paraId="3E44DAA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Supporting information</w:t>
            </w:r>
          </w:p>
        </w:tc>
        <w:tc>
          <w:tcPr>
            <w:tcW w:w="5729" w:type="dxa"/>
            <w:hideMark/>
          </w:tcPr>
          <w:p w14:paraId="72860AAB" w14:textId="416A02A3"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bl>
    <w:p w14:paraId="0DB58772" w14:textId="77777777" w:rsidR="00F47BCF" w:rsidRPr="00FC4482" w:rsidRDefault="00F47BCF" w:rsidP="00725088">
      <w:pPr>
        <w:pStyle w:val="Para0"/>
        <w:rPr>
          <w:color w:val="FF0000"/>
        </w:rPr>
      </w:pPr>
    </w:p>
    <w:sectPr w:rsidR="00F47BCF" w:rsidRPr="00FC4482" w:rsidSect="00287B9D">
      <w:headerReference w:type="even" r:id="rId15"/>
      <w:headerReference w:type="default" r:id="rId16"/>
      <w:footerReference w:type="even" r:id="rId17"/>
      <w:footerReference w:type="default" r:id="rId18"/>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DD5F3" w14:textId="77777777" w:rsidR="002851C2" w:rsidRDefault="002851C2" w:rsidP="00CC3749"/>
  </w:endnote>
  <w:endnote w:type="continuationSeparator" w:id="0">
    <w:p w14:paraId="01183309" w14:textId="77777777" w:rsidR="002851C2" w:rsidRPr="00CF4424" w:rsidRDefault="002851C2" w:rsidP="00CF4424">
      <w:pPr>
        <w:pStyle w:val="Footer"/>
        <w:jc w:val="both"/>
      </w:pPr>
    </w:p>
  </w:endnote>
  <w:endnote w:type="continuationNotice" w:id="1">
    <w:p w14:paraId="48C499D0" w14:textId="77777777" w:rsidR="002851C2" w:rsidRDefault="00285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217002386"/>
      <w:lock w:val="sdtLocked"/>
    </w:sdtPr>
    <w:sdtContent>
      <w:p w14:paraId="28C8F5BF" w14:textId="77777777" w:rsidR="00416FF4" w:rsidRDefault="00416FF4" w:rsidP="004E100F">
        <w:pPr>
          <w:pStyle w:val="Footer"/>
          <w:jc w:val="right"/>
        </w:pPr>
        <w:r w:rsidRPr="00416FF4">
          <w:t>ANNEX I – (Q)SAR MODEL REPORTING FORMAT (QMRF) V.2.1</w:t>
        </w:r>
      </w:p>
    </w:sdtContent>
  </w:sdt>
  <w:sdt>
    <w:sdtPr>
      <w:alias w:val="Classification"/>
      <w:tag w:val="txtHeaderClassif"/>
      <w:id w:val="-1918931641"/>
      <w:lock w:val="sdtLocked"/>
    </w:sdtPr>
    <w:sdtContent>
      <w:p w14:paraId="408867B8" w14:textId="77777777" w:rsidR="00416FF4" w:rsidRDefault="00416FF4" w:rsidP="004E100F">
        <w:pPr>
          <w:pStyle w:val="FooterClassification"/>
          <w:jc w:val="left"/>
        </w:pPr>
        <w:r w:rsidRPr="00416FF4">
          <w:t>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884096409"/>
      <w:lock w:val="sdtLocked"/>
    </w:sdtPr>
    <w:sdtContent>
      <w:p w14:paraId="308F2B6C" w14:textId="77777777" w:rsidR="00416FF4" w:rsidRPr="00FD7BD8" w:rsidRDefault="00416FF4" w:rsidP="004E100F">
        <w:pPr>
          <w:pStyle w:val="Footer"/>
          <w:jc w:val="left"/>
          <w:rPr>
            <w:caps w:val="0"/>
            <w:szCs w:val="16"/>
          </w:rPr>
        </w:pPr>
        <w:r w:rsidRPr="00416FF4">
          <w:t>ANNEX I – (Q)SAR MODEL REPORTING FORMAT (QMRF) V.2.1</w:t>
        </w:r>
      </w:p>
    </w:sdtContent>
  </w:sdt>
  <w:sdt>
    <w:sdtPr>
      <w:alias w:val="Classification"/>
      <w:tag w:val="txtHeaderClassif"/>
      <w:id w:val="-311407045"/>
      <w:lock w:val="sdtLocked"/>
    </w:sdtPr>
    <w:sdtContent>
      <w:p w14:paraId="7F818CA5" w14:textId="77777777" w:rsidR="00416FF4" w:rsidRPr="00FD7BD8" w:rsidRDefault="00416FF4" w:rsidP="004E100F">
        <w:pPr>
          <w:pStyle w:val="FooterClassification"/>
          <w:rPr>
            <w:szCs w:val="16"/>
          </w:rPr>
        </w:pPr>
        <w:r w:rsidRPr="00416FF4">
          <w:t>Unclassified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5CEDF" w14:textId="77777777" w:rsidR="002851C2" w:rsidRDefault="002851C2" w:rsidP="00CC3749">
      <w:r>
        <w:separator/>
      </w:r>
    </w:p>
  </w:footnote>
  <w:footnote w:type="continuationSeparator" w:id="0">
    <w:p w14:paraId="48851C64" w14:textId="77777777" w:rsidR="002851C2" w:rsidRDefault="002851C2" w:rsidP="00CC3749">
      <w:r>
        <w:continuationSeparator/>
      </w:r>
    </w:p>
  </w:footnote>
  <w:footnote w:id="1">
    <w:p w14:paraId="79302D4E" w14:textId="564C8A54" w:rsidR="00874525" w:rsidRPr="00D457CA" w:rsidRDefault="00874525" w:rsidP="005864A6">
      <w:pPr>
        <w:pStyle w:val="FootnoteText"/>
        <w:rPr>
          <w:rFonts w:asciiTheme="majorHAnsi" w:hAnsiTheme="majorHAnsi"/>
        </w:rPr>
      </w:pPr>
      <w:r w:rsidRPr="00D457CA">
        <w:rPr>
          <w:rStyle w:val="FootnoteReference"/>
          <w:rFonts w:asciiTheme="majorHAnsi" w:hAnsiTheme="majorHAnsi"/>
        </w:rPr>
        <w:footnoteRef/>
      </w:r>
      <w:r w:rsidRPr="00D457CA">
        <w:rPr>
          <w:rFonts w:asciiTheme="majorHAnsi" w:hAnsiTheme="majorHAnsi"/>
        </w:rPr>
        <w:t xml:space="preserve"> i) Golbraikh, A. &amp; Tropsha, A. Beware of q</w:t>
      </w:r>
      <w:r w:rsidRPr="00D457CA">
        <w:rPr>
          <w:rFonts w:asciiTheme="majorHAnsi" w:hAnsiTheme="majorHAnsi"/>
          <w:vertAlign w:val="superscript"/>
        </w:rPr>
        <w:t>2</w:t>
      </w:r>
      <w:r w:rsidRPr="00D457CA">
        <w:rPr>
          <w:rFonts w:asciiTheme="majorHAnsi" w:hAnsiTheme="majorHAnsi"/>
        </w:rPr>
        <w:t xml:space="preserve">! </w:t>
      </w:r>
      <w:r w:rsidRPr="00D457CA">
        <w:rPr>
          <w:rFonts w:asciiTheme="majorHAnsi" w:hAnsiTheme="majorHAnsi"/>
          <w:i/>
          <w:iCs/>
        </w:rPr>
        <w:t>J. Mol. Graph. Model.</w:t>
      </w:r>
      <w:r w:rsidRPr="00D457CA">
        <w:rPr>
          <w:rFonts w:asciiTheme="majorHAnsi" w:hAnsiTheme="majorHAnsi"/>
        </w:rPr>
        <w:t xml:space="preserve"> </w:t>
      </w:r>
      <w:r w:rsidRPr="00D457CA">
        <w:rPr>
          <w:rFonts w:asciiTheme="majorHAnsi" w:hAnsiTheme="majorHAnsi"/>
          <w:b/>
          <w:bCs/>
        </w:rPr>
        <w:t>20</w:t>
      </w:r>
      <w:r w:rsidRPr="00D457CA">
        <w:rPr>
          <w:rFonts w:asciiTheme="majorHAnsi" w:hAnsiTheme="majorHAnsi"/>
        </w:rPr>
        <w:t xml:space="preserve">, 269–276 (2002). ii) Tropsha, A., Gramatica, P. &amp; Gombar, V. K. The importance of being earnest: Validation is the absolute essential for successful application and interpretation of QSPR models. </w:t>
      </w:r>
      <w:r w:rsidRPr="00D457CA">
        <w:rPr>
          <w:rFonts w:asciiTheme="majorHAnsi" w:hAnsiTheme="majorHAnsi"/>
          <w:i/>
          <w:iCs/>
        </w:rPr>
        <w:t>Qsar Comb. Sci.</w:t>
      </w:r>
      <w:r w:rsidRPr="00D457CA">
        <w:rPr>
          <w:rFonts w:asciiTheme="majorHAnsi" w:hAnsiTheme="majorHAnsi"/>
        </w:rPr>
        <w:t xml:space="preserve"> </w:t>
      </w:r>
      <w:r w:rsidRPr="00D457CA">
        <w:rPr>
          <w:rFonts w:asciiTheme="majorHAnsi" w:hAnsiTheme="majorHAnsi"/>
          <w:b/>
          <w:bCs/>
        </w:rPr>
        <w:t>22</w:t>
      </w:r>
      <w:r w:rsidRPr="00D457CA">
        <w:rPr>
          <w:rFonts w:asciiTheme="majorHAnsi" w:hAnsiTheme="majorHAnsi"/>
        </w:rPr>
        <w:t xml:space="preserve">, 69–77 (2003). iii) Melagraki, G. &amp; Afantitis, A. Enalos KNIME nodes: Exploring corrosion inhibition of steel in acidic medium. </w:t>
      </w:r>
      <w:r w:rsidRPr="00D457CA">
        <w:rPr>
          <w:rFonts w:asciiTheme="majorHAnsi" w:hAnsiTheme="majorHAnsi"/>
          <w:i/>
          <w:iCs/>
        </w:rPr>
        <w:t>Chemom. Intell. Lab. Syst.</w:t>
      </w:r>
      <w:r w:rsidRPr="00D457CA">
        <w:rPr>
          <w:rFonts w:asciiTheme="majorHAnsi" w:hAnsiTheme="majorHAnsi"/>
        </w:rPr>
        <w:t xml:space="preserve"> </w:t>
      </w:r>
      <w:r w:rsidRPr="00D457CA">
        <w:rPr>
          <w:rFonts w:asciiTheme="majorHAnsi" w:hAnsiTheme="majorHAnsi"/>
          <w:b/>
          <w:bCs/>
        </w:rPr>
        <w:t>123</w:t>
      </w:r>
      <w:r w:rsidRPr="00D457CA">
        <w:rPr>
          <w:rFonts w:asciiTheme="majorHAnsi" w:hAnsiTheme="majorHAnsi"/>
        </w:rPr>
        <w:t>, 9–14 (2013).</w:t>
      </w:r>
    </w:p>
    <w:p w14:paraId="4846F6F5" w14:textId="77777777" w:rsidR="00874525" w:rsidRDefault="00874525" w:rsidP="005864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7C98" w14:textId="77777777" w:rsidR="00416FF4"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2</w:t>
        </w:r>
        <w:r w:rsidR="00416FF4" w:rsidRPr="00CC3749">
          <w:rPr>
            <w:rStyle w:val="PageNumber"/>
            <w:noProof/>
          </w:rPr>
          <w:fldChar w:fldCharType="end"/>
        </w:r>
      </w:sdtContent>
    </w:sdt>
    <w:r w:rsidR="00416FF4">
      <w:t xml:space="preserve"> </w:t>
    </w:r>
    <w:r w:rsidR="00416FF4">
      <w:sym w:font="Symbol" w:char="F07C"/>
    </w:r>
    <w:r w:rsidR="00416FF4">
      <w:t xml:space="preserve"> </w:t>
    </w:r>
    <w:sdt>
      <w:sdtPr>
        <w:rPr>
          <w:rStyle w:val="HeaderTitle"/>
        </w:rPr>
        <w:alias w:val="Cote/Chapter"/>
        <w:tag w:val="txtHeaderValue"/>
        <w:id w:val="-308635562"/>
        <w:lock w:val="sdtLocked"/>
      </w:sdtPr>
      <w:sdtEndPr>
        <w:rPr>
          <w:rStyle w:val="DefaultParagraphFont"/>
          <w:caps w:val="0"/>
          <w:sz w:val="22"/>
        </w:rPr>
      </w:sdtEndPr>
      <w:sdtContent>
        <w:r w:rsidR="00416FF4">
          <w:rPr>
            <w:rStyle w:val="HeaderTitle"/>
          </w:rPr>
          <w:t>ENV/CBC/MONO(2023)32/ANN1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24EE9" w14:textId="77777777" w:rsidR="00416FF4"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416FF4">
          <w:rPr>
            <w:rStyle w:val="HeaderTitle"/>
          </w:rPr>
          <w:t>ENV/CBC/MONO(2023)32/ANN1</w:t>
        </w:r>
      </w:sdtContent>
    </w:sdt>
    <w:r w:rsidR="00416FF4">
      <w:rPr>
        <w:rStyle w:val="PageNumber"/>
      </w:rPr>
      <w:t xml:space="preserve"> </w:t>
    </w:r>
    <w:r w:rsidR="00416FF4">
      <w:rPr>
        <w:rStyle w:val="PageNumber"/>
      </w:rPr>
      <w:sym w:font="Symbol" w:char="F07C"/>
    </w:r>
    <w:r w:rsidR="00416FF4">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3</w:t>
        </w:r>
        <w:r w:rsidR="00416FF4"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pStyle w:val="EUSRVtectable"/>
      <w:lvlText w:val="-"/>
      <w:lvlJc w:val="left"/>
      <w:pPr>
        <w:tabs>
          <w:tab w:val="num" w:pos="72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21A49EB"/>
    <w:multiLevelType w:val="hybridMultilevel"/>
    <w:tmpl w:val="E7BA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1"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3"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9411319">
    <w:abstractNumId w:val="9"/>
  </w:num>
  <w:num w:numId="2" w16cid:durableId="820775037">
    <w:abstractNumId w:val="7"/>
  </w:num>
  <w:num w:numId="3" w16cid:durableId="282544394">
    <w:abstractNumId w:val="6"/>
  </w:num>
  <w:num w:numId="4" w16cid:durableId="1159922500">
    <w:abstractNumId w:val="5"/>
  </w:num>
  <w:num w:numId="5" w16cid:durableId="1671711027">
    <w:abstractNumId w:val="4"/>
  </w:num>
  <w:num w:numId="6" w16cid:durableId="122506539">
    <w:abstractNumId w:val="8"/>
  </w:num>
  <w:num w:numId="7" w16cid:durableId="317849663">
    <w:abstractNumId w:val="3"/>
  </w:num>
  <w:num w:numId="8" w16cid:durableId="2783015">
    <w:abstractNumId w:val="2"/>
  </w:num>
  <w:num w:numId="9" w16cid:durableId="544220634">
    <w:abstractNumId w:val="1"/>
  </w:num>
  <w:num w:numId="10" w16cid:durableId="901330598">
    <w:abstractNumId w:val="0"/>
  </w:num>
  <w:num w:numId="11" w16cid:durableId="244537675">
    <w:abstractNumId w:val="17"/>
  </w:num>
  <w:num w:numId="12" w16cid:durableId="343434367">
    <w:abstractNumId w:val="18"/>
  </w:num>
  <w:num w:numId="13" w16cid:durableId="22950470">
    <w:abstractNumId w:val="25"/>
  </w:num>
  <w:num w:numId="14" w16cid:durableId="179853807">
    <w:abstractNumId w:val="25"/>
    <w:lvlOverride w:ilvl="0">
      <w:startOverride w:val="1"/>
    </w:lvlOverride>
  </w:num>
  <w:num w:numId="15" w16cid:durableId="167210001">
    <w:abstractNumId w:val="24"/>
  </w:num>
  <w:num w:numId="16" w16cid:durableId="213006831">
    <w:abstractNumId w:val="11"/>
  </w:num>
  <w:num w:numId="17" w16cid:durableId="745079663">
    <w:abstractNumId w:val="14"/>
  </w:num>
  <w:num w:numId="18" w16cid:durableId="1778792501">
    <w:abstractNumId w:val="26"/>
  </w:num>
  <w:num w:numId="19" w16cid:durableId="1928415124">
    <w:abstractNumId w:val="13"/>
  </w:num>
  <w:num w:numId="20" w16cid:durableId="241258176">
    <w:abstractNumId w:val="21"/>
  </w:num>
  <w:num w:numId="21" w16cid:durableId="1503006037">
    <w:abstractNumId w:val="12"/>
  </w:num>
  <w:num w:numId="22" w16cid:durableId="2129273190">
    <w:abstractNumId w:val="22"/>
  </w:num>
  <w:num w:numId="23" w16cid:durableId="1473520339">
    <w:abstractNumId w:val="16"/>
  </w:num>
  <w:num w:numId="24" w16cid:durableId="1854805032">
    <w:abstractNumId w:val="23"/>
  </w:num>
  <w:num w:numId="25" w16cid:durableId="1228105558">
    <w:abstractNumId w:val="20"/>
  </w:num>
  <w:num w:numId="26" w16cid:durableId="723336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8047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921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026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7938441">
    <w:abstractNumId w:val="23"/>
    <w:lvlOverride w:ilvl="0">
      <w:startOverride w:val="1"/>
    </w:lvlOverride>
  </w:num>
  <w:num w:numId="31" w16cid:durableId="883102105">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9709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784960">
    <w:abstractNumId w:val="22"/>
  </w:num>
  <w:num w:numId="34" w16cid:durableId="1390375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784818">
    <w:abstractNumId w:val="15"/>
  </w:num>
  <w:num w:numId="36" w16cid:durableId="891621111">
    <w:abstractNumId w:val="10"/>
  </w:num>
  <w:num w:numId="37" w16cid:durableId="796872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3349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SortMethod w:val="0000"/>
  <w:defaultTabStop w:val="720"/>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AOYAGI Tomoko"/>
    <w:docVar w:name="BuiltInPropertywdPropertySubject" w:val=" "/>
    <w:docVar w:name="OECDDocumentClassification" w:val="Unclassified"/>
    <w:docVar w:name="OECDDocumentCommittee" w:val="CHEMICALS AND BIOTECHNOLOGY COMMITTEE"/>
    <w:docVar w:name="OECDDocumentCote" w:val="ENV/CBC/MONO(2023)32/ANN1"/>
    <w:docVar w:name="OecdDocumentCoteLangHash" w:val="7D305A677BE7BD5404AA96B6091C382AC3DE09FF3722890B7D85C97F28A4F9F3"/>
    <w:docVar w:name="OECDDocumentDirectorate" w:val="ENVIRONMENT DIRECTORATE"/>
    <w:docVar w:name="OECDDocumentDocumentAbstract" w:val="The (Q)SAR Assessment Framework document is available under the cote ENV/CBC/MONO(2023)32."/>
    <w:docVar w:name="OECDDocumentDocumentLanguage" w:val="English"/>
    <w:docVar w:name="OECDDocumentHasBeenSubmitted" w:val="False"/>
    <w:docVar w:name="OECDDocumentId" w:val="DBAE273F804F17273C86EC940410712749C57B532BFAC595066168EDD2BE9385"/>
    <w:docVar w:name="OECDDocumentJobTicket" w:val="JT03524221"/>
    <w:docVar w:name="OECDDocumentJobTicketHash" w:val="44A44C5A2FDFFC9C20AEEA2AF58F86AF527F5ACC07304A2052DB323AAD0D8C71"/>
    <w:docVar w:name="OECDDocumentOriginalLanguage" w:val="English"/>
    <w:docVar w:name="OECDDocumentSubmissionAuthor" w:val="KAYES Bryony"/>
    <w:docVar w:name="OECDDocumentValidationDate" w:val="08/17/2023 14:17:59"/>
    <w:docVar w:name="OECDDocumentValidationErrors" w:val="0"/>
    <w:docVar w:name="OECDDocumentValidationWarnings" w:val="0"/>
    <w:docVar w:name="OECDDocumentValidationWordCount" w:val="6016"/>
    <w:docVar w:name="OECDTemplateLocation" w:val="W:\Office2016\Workgroup Templates"/>
    <w:docVar w:name="OECDTemplateName" w:val="ONE Author ODPub.dotx"/>
    <w:docVar w:name="OECDTemplateVersion" w:val="3.24"/>
    <w:docVar w:name="OECDTemplateVersionOriginal" w:val="3.24"/>
  </w:docVars>
  <w:rsids>
    <w:rsidRoot w:val="003D2546"/>
    <w:rsid w:val="0000129A"/>
    <w:rsid w:val="000037D9"/>
    <w:rsid w:val="00004DAB"/>
    <w:rsid w:val="000064D6"/>
    <w:rsid w:val="00014086"/>
    <w:rsid w:val="00017230"/>
    <w:rsid w:val="00024178"/>
    <w:rsid w:val="00027D14"/>
    <w:rsid w:val="00030E8C"/>
    <w:rsid w:val="000338B2"/>
    <w:rsid w:val="00033E50"/>
    <w:rsid w:val="0004402D"/>
    <w:rsid w:val="00044517"/>
    <w:rsid w:val="000454E8"/>
    <w:rsid w:val="0005102C"/>
    <w:rsid w:val="00052575"/>
    <w:rsid w:val="00052588"/>
    <w:rsid w:val="00052D8E"/>
    <w:rsid w:val="000542B8"/>
    <w:rsid w:val="00055124"/>
    <w:rsid w:val="00055536"/>
    <w:rsid w:val="000628BB"/>
    <w:rsid w:val="00064C7A"/>
    <w:rsid w:val="0007759B"/>
    <w:rsid w:val="00085197"/>
    <w:rsid w:val="00094B1D"/>
    <w:rsid w:val="000A5133"/>
    <w:rsid w:val="000A655C"/>
    <w:rsid w:val="000A69AD"/>
    <w:rsid w:val="000A7C6B"/>
    <w:rsid w:val="000B03E2"/>
    <w:rsid w:val="000B74AE"/>
    <w:rsid w:val="000B7665"/>
    <w:rsid w:val="000B7B86"/>
    <w:rsid w:val="000C0FE0"/>
    <w:rsid w:val="000C1DF4"/>
    <w:rsid w:val="000C72D0"/>
    <w:rsid w:val="000D34F9"/>
    <w:rsid w:val="000D4550"/>
    <w:rsid w:val="000E0DC7"/>
    <w:rsid w:val="000E2815"/>
    <w:rsid w:val="000E5F57"/>
    <w:rsid w:val="000E7300"/>
    <w:rsid w:val="000F040F"/>
    <w:rsid w:val="000F68AF"/>
    <w:rsid w:val="00101323"/>
    <w:rsid w:val="001064D3"/>
    <w:rsid w:val="00111592"/>
    <w:rsid w:val="00111A19"/>
    <w:rsid w:val="0011701E"/>
    <w:rsid w:val="00130B1E"/>
    <w:rsid w:val="001313D9"/>
    <w:rsid w:val="00132E78"/>
    <w:rsid w:val="00146063"/>
    <w:rsid w:val="0015065F"/>
    <w:rsid w:val="00151485"/>
    <w:rsid w:val="00151AE5"/>
    <w:rsid w:val="001535B9"/>
    <w:rsid w:val="00157A58"/>
    <w:rsid w:val="00160B10"/>
    <w:rsid w:val="00160D78"/>
    <w:rsid w:val="00170C55"/>
    <w:rsid w:val="00173418"/>
    <w:rsid w:val="0018014A"/>
    <w:rsid w:val="00183469"/>
    <w:rsid w:val="00192BE9"/>
    <w:rsid w:val="001931F5"/>
    <w:rsid w:val="001933C5"/>
    <w:rsid w:val="00196642"/>
    <w:rsid w:val="001A10C6"/>
    <w:rsid w:val="001B2144"/>
    <w:rsid w:val="001B2FAD"/>
    <w:rsid w:val="001B4E01"/>
    <w:rsid w:val="001C0B13"/>
    <w:rsid w:val="001C1F73"/>
    <w:rsid w:val="001C4E4F"/>
    <w:rsid w:val="001C4F22"/>
    <w:rsid w:val="001C617B"/>
    <w:rsid w:val="001D3952"/>
    <w:rsid w:val="001D6B7A"/>
    <w:rsid w:val="001D79CD"/>
    <w:rsid w:val="001E1F22"/>
    <w:rsid w:val="001E4AA0"/>
    <w:rsid w:val="001F11B3"/>
    <w:rsid w:val="001F18A8"/>
    <w:rsid w:val="001F63FD"/>
    <w:rsid w:val="001F6920"/>
    <w:rsid w:val="001F76B3"/>
    <w:rsid w:val="00201266"/>
    <w:rsid w:val="00202409"/>
    <w:rsid w:val="00203113"/>
    <w:rsid w:val="00203CC1"/>
    <w:rsid w:val="00210A5D"/>
    <w:rsid w:val="002226E4"/>
    <w:rsid w:val="00224AC3"/>
    <w:rsid w:val="0022556E"/>
    <w:rsid w:val="002270B3"/>
    <w:rsid w:val="00237A1B"/>
    <w:rsid w:val="0025481A"/>
    <w:rsid w:val="002565E1"/>
    <w:rsid w:val="00263627"/>
    <w:rsid w:val="00270103"/>
    <w:rsid w:val="00275477"/>
    <w:rsid w:val="002818F4"/>
    <w:rsid w:val="002851C2"/>
    <w:rsid w:val="00287B9D"/>
    <w:rsid w:val="00287ED5"/>
    <w:rsid w:val="0029120F"/>
    <w:rsid w:val="00291B4A"/>
    <w:rsid w:val="00296CE1"/>
    <w:rsid w:val="002A2091"/>
    <w:rsid w:val="002A226D"/>
    <w:rsid w:val="002A6B56"/>
    <w:rsid w:val="002B353F"/>
    <w:rsid w:val="002C1DD6"/>
    <w:rsid w:val="002D0E87"/>
    <w:rsid w:val="002E0230"/>
    <w:rsid w:val="002E5F03"/>
    <w:rsid w:val="002F3A06"/>
    <w:rsid w:val="002F605B"/>
    <w:rsid w:val="002F6BE4"/>
    <w:rsid w:val="00303173"/>
    <w:rsid w:val="00304319"/>
    <w:rsid w:val="00305C43"/>
    <w:rsid w:val="00310601"/>
    <w:rsid w:val="00323108"/>
    <w:rsid w:val="00324483"/>
    <w:rsid w:val="00326CAE"/>
    <w:rsid w:val="003276FA"/>
    <w:rsid w:val="00333261"/>
    <w:rsid w:val="00337396"/>
    <w:rsid w:val="003478FA"/>
    <w:rsid w:val="00347AA2"/>
    <w:rsid w:val="00350662"/>
    <w:rsid w:val="00350963"/>
    <w:rsid w:val="00350CCC"/>
    <w:rsid w:val="0035293B"/>
    <w:rsid w:val="003570CA"/>
    <w:rsid w:val="003578FC"/>
    <w:rsid w:val="00366BED"/>
    <w:rsid w:val="00372918"/>
    <w:rsid w:val="00375A7C"/>
    <w:rsid w:val="00376570"/>
    <w:rsid w:val="00381AB2"/>
    <w:rsid w:val="003833FF"/>
    <w:rsid w:val="00386F03"/>
    <w:rsid w:val="003957E7"/>
    <w:rsid w:val="00396DB8"/>
    <w:rsid w:val="003A3A69"/>
    <w:rsid w:val="003A63B6"/>
    <w:rsid w:val="003A72FB"/>
    <w:rsid w:val="003B0FCE"/>
    <w:rsid w:val="003B2EF0"/>
    <w:rsid w:val="003B312C"/>
    <w:rsid w:val="003B42F8"/>
    <w:rsid w:val="003C4738"/>
    <w:rsid w:val="003C6E42"/>
    <w:rsid w:val="003D0071"/>
    <w:rsid w:val="003D0145"/>
    <w:rsid w:val="003D0D81"/>
    <w:rsid w:val="003D2546"/>
    <w:rsid w:val="003D283F"/>
    <w:rsid w:val="003E0362"/>
    <w:rsid w:val="003E2486"/>
    <w:rsid w:val="003E2E5C"/>
    <w:rsid w:val="003E5BE5"/>
    <w:rsid w:val="003E6393"/>
    <w:rsid w:val="003E7235"/>
    <w:rsid w:val="003E7944"/>
    <w:rsid w:val="003F312A"/>
    <w:rsid w:val="003F3341"/>
    <w:rsid w:val="003F3E9F"/>
    <w:rsid w:val="00400D06"/>
    <w:rsid w:val="004036CB"/>
    <w:rsid w:val="00403A1F"/>
    <w:rsid w:val="00404A52"/>
    <w:rsid w:val="00405492"/>
    <w:rsid w:val="00407712"/>
    <w:rsid w:val="004120ED"/>
    <w:rsid w:val="00416FF4"/>
    <w:rsid w:val="004230BA"/>
    <w:rsid w:val="004234CE"/>
    <w:rsid w:val="004243B4"/>
    <w:rsid w:val="004259A6"/>
    <w:rsid w:val="0043486B"/>
    <w:rsid w:val="004348F1"/>
    <w:rsid w:val="00440FA5"/>
    <w:rsid w:val="00444C08"/>
    <w:rsid w:val="004529B7"/>
    <w:rsid w:val="00452DA0"/>
    <w:rsid w:val="00456142"/>
    <w:rsid w:val="00456E03"/>
    <w:rsid w:val="00461C3F"/>
    <w:rsid w:val="0046201C"/>
    <w:rsid w:val="004622CF"/>
    <w:rsid w:val="00462721"/>
    <w:rsid w:val="00464ED3"/>
    <w:rsid w:val="004661B2"/>
    <w:rsid w:val="0047755F"/>
    <w:rsid w:val="004876AE"/>
    <w:rsid w:val="00496052"/>
    <w:rsid w:val="004A00A8"/>
    <w:rsid w:val="004A117A"/>
    <w:rsid w:val="004A1A3F"/>
    <w:rsid w:val="004A1A7B"/>
    <w:rsid w:val="004A6F9B"/>
    <w:rsid w:val="004B163D"/>
    <w:rsid w:val="004B3675"/>
    <w:rsid w:val="004B7B10"/>
    <w:rsid w:val="004C102F"/>
    <w:rsid w:val="004C229E"/>
    <w:rsid w:val="004C28A3"/>
    <w:rsid w:val="004D1C5E"/>
    <w:rsid w:val="004E100F"/>
    <w:rsid w:val="004E4993"/>
    <w:rsid w:val="004F1D9C"/>
    <w:rsid w:val="004F644E"/>
    <w:rsid w:val="004F6BF2"/>
    <w:rsid w:val="004F6CB7"/>
    <w:rsid w:val="005011D9"/>
    <w:rsid w:val="00502163"/>
    <w:rsid w:val="00502342"/>
    <w:rsid w:val="005059C6"/>
    <w:rsid w:val="00510E93"/>
    <w:rsid w:val="00511263"/>
    <w:rsid w:val="00517508"/>
    <w:rsid w:val="00523806"/>
    <w:rsid w:val="00524708"/>
    <w:rsid w:val="00524825"/>
    <w:rsid w:val="0052749E"/>
    <w:rsid w:val="00532FB1"/>
    <w:rsid w:val="00535F2B"/>
    <w:rsid w:val="005360A8"/>
    <w:rsid w:val="005361EC"/>
    <w:rsid w:val="00541D62"/>
    <w:rsid w:val="00543135"/>
    <w:rsid w:val="005508C5"/>
    <w:rsid w:val="005523F0"/>
    <w:rsid w:val="005527A6"/>
    <w:rsid w:val="0056606B"/>
    <w:rsid w:val="00567146"/>
    <w:rsid w:val="00575855"/>
    <w:rsid w:val="00576984"/>
    <w:rsid w:val="00582D40"/>
    <w:rsid w:val="005864A6"/>
    <w:rsid w:val="00593D13"/>
    <w:rsid w:val="005A07B3"/>
    <w:rsid w:val="005A0A55"/>
    <w:rsid w:val="005A41B4"/>
    <w:rsid w:val="005A4A42"/>
    <w:rsid w:val="005A6B81"/>
    <w:rsid w:val="005B456A"/>
    <w:rsid w:val="005B734D"/>
    <w:rsid w:val="005B7CA2"/>
    <w:rsid w:val="005C5699"/>
    <w:rsid w:val="005D25FC"/>
    <w:rsid w:val="005D450E"/>
    <w:rsid w:val="005D5F8F"/>
    <w:rsid w:val="005D7D42"/>
    <w:rsid w:val="005E3782"/>
    <w:rsid w:val="005E683F"/>
    <w:rsid w:val="005F1961"/>
    <w:rsid w:val="00603681"/>
    <w:rsid w:val="0061216A"/>
    <w:rsid w:val="006128C8"/>
    <w:rsid w:val="00614277"/>
    <w:rsid w:val="006218BD"/>
    <w:rsid w:val="00622583"/>
    <w:rsid w:val="00622E0C"/>
    <w:rsid w:val="00625626"/>
    <w:rsid w:val="006304BF"/>
    <w:rsid w:val="00635AEE"/>
    <w:rsid w:val="00640529"/>
    <w:rsid w:val="00644510"/>
    <w:rsid w:val="00644FCE"/>
    <w:rsid w:val="00670736"/>
    <w:rsid w:val="006710A0"/>
    <w:rsid w:val="00680162"/>
    <w:rsid w:val="00682005"/>
    <w:rsid w:val="0068361F"/>
    <w:rsid w:val="006902CC"/>
    <w:rsid w:val="006A1139"/>
    <w:rsid w:val="006B38E2"/>
    <w:rsid w:val="006B4BAA"/>
    <w:rsid w:val="006B7345"/>
    <w:rsid w:val="006B7A61"/>
    <w:rsid w:val="006C35CC"/>
    <w:rsid w:val="006C6F26"/>
    <w:rsid w:val="006C7B61"/>
    <w:rsid w:val="006D1C15"/>
    <w:rsid w:val="006D2B23"/>
    <w:rsid w:val="006E50BA"/>
    <w:rsid w:val="006E5AA5"/>
    <w:rsid w:val="006F0A20"/>
    <w:rsid w:val="006F5E24"/>
    <w:rsid w:val="0070033F"/>
    <w:rsid w:val="00710E8C"/>
    <w:rsid w:val="00711F1B"/>
    <w:rsid w:val="00712B15"/>
    <w:rsid w:val="007135D0"/>
    <w:rsid w:val="00722339"/>
    <w:rsid w:val="00724820"/>
    <w:rsid w:val="00725088"/>
    <w:rsid w:val="0072513F"/>
    <w:rsid w:val="007306FA"/>
    <w:rsid w:val="007323ED"/>
    <w:rsid w:val="00733ED1"/>
    <w:rsid w:val="00734135"/>
    <w:rsid w:val="00735C39"/>
    <w:rsid w:val="00743058"/>
    <w:rsid w:val="00743381"/>
    <w:rsid w:val="00753095"/>
    <w:rsid w:val="00753EEE"/>
    <w:rsid w:val="00754C15"/>
    <w:rsid w:val="00757D43"/>
    <w:rsid w:val="007622EA"/>
    <w:rsid w:val="00762B89"/>
    <w:rsid w:val="007712AC"/>
    <w:rsid w:val="00771361"/>
    <w:rsid w:val="007728EB"/>
    <w:rsid w:val="00777094"/>
    <w:rsid w:val="00780429"/>
    <w:rsid w:val="00781188"/>
    <w:rsid w:val="007823FE"/>
    <w:rsid w:val="007836B4"/>
    <w:rsid w:val="00785A1E"/>
    <w:rsid w:val="00796525"/>
    <w:rsid w:val="007A76BA"/>
    <w:rsid w:val="007B1A88"/>
    <w:rsid w:val="007B31F6"/>
    <w:rsid w:val="007B32B0"/>
    <w:rsid w:val="007B64FE"/>
    <w:rsid w:val="007C1CC5"/>
    <w:rsid w:val="007C3714"/>
    <w:rsid w:val="007C5CAD"/>
    <w:rsid w:val="007C6866"/>
    <w:rsid w:val="007D09AE"/>
    <w:rsid w:val="007D21CF"/>
    <w:rsid w:val="007D5036"/>
    <w:rsid w:val="007D7784"/>
    <w:rsid w:val="007E454A"/>
    <w:rsid w:val="007E4D31"/>
    <w:rsid w:val="007F07C4"/>
    <w:rsid w:val="007F41F9"/>
    <w:rsid w:val="007F712B"/>
    <w:rsid w:val="00803F69"/>
    <w:rsid w:val="00804ACC"/>
    <w:rsid w:val="00804BB7"/>
    <w:rsid w:val="008127CA"/>
    <w:rsid w:val="008129C4"/>
    <w:rsid w:val="00814FD3"/>
    <w:rsid w:val="00816695"/>
    <w:rsid w:val="00820362"/>
    <w:rsid w:val="00821370"/>
    <w:rsid w:val="008230ED"/>
    <w:rsid w:val="008232BC"/>
    <w:rsid w:val="00825BF9"/>
    <w:rsid w:val="00827A21"/>
    <w:rsid w:val="00827FB5"/>
    <w:rsid w:val="00833FF5"/>
    <w:rsid w:val="00835614"/>
    <w:rsid w:val="008460B0"/>
    <w:rsid w:val="00846824"/>
    <w:rsid w:val="008542C2"/>
    <w:rsid w:val="00855DE3"/>
    <w:rsid w:val="00855F22"/>
    <w:rsid w:val="008566CB"/>
    <w:rsid w:val="00857920"/>
    <w:rsid w:val="0086742E"/>
    <w:rsid w:val="00870268"/>
    <w:rsid w:val="008728E0"/>
    <w:rsid w:val="00874525"/>
    <w:rsid w:val="008757C6"/>
    <w:rsid w:val="00880608"/>
    <w:rsid w:val="00880E82"/>
    <w:rsid w:val="00882314"/>
    <w:rsid w:val="00895D73"/>
    <w:rsid w:val="008B5E8B"/>
    <w:rsid w:val="008B73A6"/>
    <w:rsid w:val="008C38B5"/>
    <w:rsid w:val="008C5973"/>
    <w:rsid w:val="008C7702"/>
    <w:rsid w:val="008E2C7C"/>
    <w:rsid w:val="008E2F6C"/>
    <w:rsid w:val="008F0F36"/>
    <w:rsid w:val="008F0F84"/>
    <w:rsid w:val="008F1437"/>
    <w:rsid w:val="008F21DF"/>
    <w:rsid w:val="008F632C"/>
    <w:rsid w:val="008F66D2"/>
    <w:rsid w:val="008F6F27"/>
    <w:rsid w:val="008F7A96"/>
    <w:rsid w:val="008F7B1F"/>
    <w:rsid w:val="00904F11"/>
    <w:rsid w:val="00907E59"/>
    <w:rsid w:val="009106FA"/>
    <w:rsid w:val="00916BDE"/>
    <w:rsid w:val="0092327D"/>
    <w:rsid w:val="009305C4"/>
    <w:rsid w:val="009321E4"/>
    <w:rsid w:val="0093281A"/>
    <w:rsid w:val="00943271"/>
    <w:rsid w:val="0094705D"/>
    <w:rsid w:val="00954820"/>
    <w:rsid w:val="00961C60"/>
    <w:rsid w:val="0096394A"/>
    <w:rsid w:val="0096519D"/>
    <w:rsid w:val="00966A58"/>
    <w:rsid w:val="0096728F"/>
    <w:rsid w:val="0097116C"/>
    <w:rsid w:val="009811DE"/>
    <w:rsid w:val="00981A7E"/>
    <w:rsid w:val="00982C10"/>
    <w:rsid w:val="0098377F"/>
    <w:rsid w:val="009877F0"/>
    <w:rsid w:val="00991A9A"/>
    <w:rsid w:val="0099203B"/>
    <w:rsid w:val="00992AB5"/>
    <w:rsid w:val="009A22AE"/>
    <w:rsid w:val="009A3363"/>
    <w:rsid w:val="009A4284"/>
    <w:rsid w:val="009B36EC"/>
    <w:rsid w:val="009B3725"/>
    <w:rsid w:val="009B4679"/>
    <w:rsid w:val="009C532B"/>
    <w:rsid w:val="009C697D"/>
    <w:rsid w:val="009D0A30"/>
    <w:rsid w:val="009D0EC4"/>
    <w:rsid w:val="009D30C1"/>
    <w:rsid w:val="009D3764"/>
    <w:rsid w:val="009D640E"/>
    <w:rsid w:val="009D6989"/>
    <w:rsid w:val="009E05F9"/>
    <w:rsid w:val="009E1A99"/>
    <w:rsid w:val="009E3337"/>
    <w:rsid w:val="009E7C04"/>
    <w:rsid w:val="009F7287"/>
    <w:rsid w:val="00A01981"/>
    <w:rsid w:val="00A06B9B"/>
    <w:rsid w:val="00A07625"/>
    <w:rsid w:val="00A104FC"/>
    <w:rsid w:val="00A1253E"/>
    <w:rsid w:val="00A12B7B"/>
    <w:rsid w:val="00A14DC4"/>
    <w:rsid w:val="00A1735A"/>
    <w:rsid w:val="00A20967"/>
    <w:rsid w:val="00A21E27"/>
    <w:rsid w:val="00A24856"/>
    <w:rsid w:val="00A33D14"/>
    <w:rsid w:val="00A34EEC"/>
    <w:rsid w:val="00A37747"/>
    <w:rsid w:val="00A37D0A"/>
    <w:rsid w:val="00A40263"/>
    <w:rsid w:val="00A41072"/>
    <w:rsid w:val="00A42716"/>
    <w:rsid w:val="00A506C1"/>
    <w:rsid w:val="00A61DC4"/>
    <w:rsid w:val="00A730BD"/>
    <w:rsid w:val="00A73BFF"/>
    <w:rsid w:val="00A74AFD"/>
    <w:rsid w:val="00A752EA"/>
    <w:rsid w:val="00A76883"/>
    <w:rsid w:val="00A81224"/>
    <w:rsid w:val="00A8126B"/>
    <w:rsid w:val="00A8161D"/>
    <w:rsid w:val="00A81F07"/>
    <w:rsid w:val="00A92F3D"/>
    <w:rsid w:val="00A95B06"/>
    <w:rsid w:val="00A961E9"/>
    <w:rsid w:val="00AA591D"/>
    <w:rsid w:val="00AA7673"/>
    <w:rsid w:val="00AA7C55"/>
    <w:rsid w:val="00AB27F1"/>
    <w:rsid w:val="00AB34FF"/>
    <w:rsid w:val="00AB3C9C"/>
    <w:rsid w:val="00AB5A6F"/>
    <w:rsid w:val="00AC4AE2"/>
    <w:rsid w:val="00AC5E9B"/>
    <w:rsid w:val="00AC7B0C"/>
    <w:rsid w:val="00AD08D5"/>
    <w:rsid w:val="00AD149C"/>
    <w:rsid w:val="00AD15C4"/>
    <w:rsid w:val="00AD196B"/>
    <w:rsid w:val="00AD32A7"/>
    <w:rsid w:val="00AD373D"/>
    <w:rsid w:val="00AD5519"/>
    <w:rsid w:val="00AE48DF"/>
    <w:rsid w:val="00AE5FED"/>
    <w:rsid w:val="00B0250B"/>
    <w:rsid w:val="00B06D82"/>
    <w:rsid w:val="00B11E2C"/>
    <w:rsid w:val="00B12F75"/>
    <w:rsid w:val="00B16E93"/>
    <w:rsid w:val="00B34036"/>
    <w:rsid w:val="00B363EB"/>
    <w:rsid w:val="00B46C8D"/>
    <w:rsid w:val="00B614DA"/>
    <w:rsid w:val="00B66B2E"/>
    <w:rsid w:val="00B67859"/>
    <w:rsid w:val="00B720F6"/>
    <w:rsid w:val="00B7351B"/>
    <w:rsid w:val="00BA01C3"/>
    <w:rsid w:val="00BA1ADD"/>
    <w:rsid w:val="00BA28FD"/>
    <w:rsid w:val="00BA5287"/>
    <w:rsid w:val="00BB0CCC"/>
    <w:rsid w:val="00BD4F7D"/>
    <w:rsid w:val="00BD55DA"/>
    <w:rsid w:val="00BD5768"/>
    <w:rsid w:val="00BD584D"/>
    <w:rsid w:val="00BE268B"/>
    <w:rsid w:val="00BF1697"/>
    <w:rsid w:val="00BF3A52"/>
    <w:rsid w:val="00BF53D8"/>
    <w:rsid w:val="00BF5D6F"/>
    <w:rsid w:val="00BF69F3"/>
    <w:rsid w:val="00BF773A"/>
    <w:rsid w:val="00C0190E"/>
    <w:rsid w:val="00C03067"/>
    <w:rsid w:val="00C16E50"/>
    <w:rsid w:val="00C24704"/>
    <w:rsid w:val="00C26DD0"/>
    <w:rsid w:val="00C3172F"/>
    <w:rsid w:val="00C328A8"/>
    <w:rsid w:val="00C3513F"/>
    <w:rsid w:val="00C40110"/>
    <w:rsid w:val="00C43213"/>
    <w:rsid w:val="00C43699"/>
    <w:rsid w:val="00C45E14"/>
    <w:rsid w:val="00C5382F"/>
    <w:rsid w:val="00C549BA"/>
    <w:rsid w:val="00C611FD"/>
    <w:rsid w:val="00C6171E"/>
    <w:rsid w:val="00C710A7"/>
    <w:rsid w:val="00C71392"/>
    <w:rsid w:val="00C732F4"/>
    <w:rsid w:val="00C77599"/>
    <w:rsid w:val="00C80283"/>
    <w:rsid w:val="00C83CC5"/>
    <w:rsid w:val="00C86FE5"/>
    <w:rsid w:val="00C90758"/>
    <w:rsid w:val="00C9339D"/>
    <w:rsid w:val="00CA10B3"/>
    <w:rsid w:val="00CA14D5"/>
    <w:rsid w:val="00CA1A65"/>
    <w:rsid w:val="00CA2765"/>
    <w:rsid w:val="00CA27CC"/>
    <w:rsid w:val="00CB4B68"/>
    <w:rsid w:val="00CB6B34"/>
    <w:rsid w:val="00CC1A99"/>
    <w:rsid w:val="00CC3749"/>
    <w:rsid w:val="00CC41F7"/>
    <w:rsid w:val="00CC55BF"/>
    <w:rsid w:val="00CC7494"/>
    <w:rsid w:val="00CD338B"/>
    <w:rsid w:val="00CD6A6F"/>
    <w:rsid w:val="00CE2207"/>
    <w:rsid w:val="00CE347A"/>
    <w:rsid w:val="00CE4798"/>
    <w:rsid w:val="00CE6E7E"/>
    <w:rsid w:val="00CF4424"/>
    <w:rsid w:val="00CF6762"/>
    <w:rsid w:val="00CF73CA"/>
    <w:rsid w:val="00D02666"/>
    <w:rsid w:val="00D03CC5"/>
    <w:rsid w:val="00D047D4"/>
    <w:rsid w:val="00D048EC"/>
    <w:rsid w:val="00D05A24"/>
    <w:rsid w:val="00D13727"/>
    <w:rsid w:val="00D15234"/>
    <w:rsid w:val="00D20610"/>
    <w:rsid w:val="00D20C3E"/>
    <w:rsid w:val="00D216F4"/>
    <w:rsid w:val="00D21923"/>
    <w:rsid w:val="00D21B35"/>
    <w:rsid w:val="00D22EC8"/>
    <w:rsid w:val="00D27A8B"/>
    <w:rsid w:val="00D33BA3"/>
    <w:rsid w:val="00D34E37"/>
    <w:rsid w:val="00D43B52"/>
    <w:rsid w:val="00D45551"/>
    <w:rsid w:val="00D457CA"/>
    <w:rsid w:val="00D462B3"/>
    <w:rsid w:val="00D51056"/>
    <w:rsid w:val="00D52504"/>
    <w:rsid w:val="00D52C3B"/>
    <w:rsid w:val="00D5651D"/>
    <w:rsid w:val="00D6681A"/>
    <w:rsid w:val="00D73C3A"/>
    <w:rsid w:val="00D81E01"/>
    <w:rsid w:val="00D854FA"/>
    <w:rsid w:val="00D919C2"/>
    <w:rsid w:val="00D942EC"/>
    <w:rsid w:val="00D95933"/>
    <w:rsid w:val="00D96407"/>
    <w:rsid w:val="00D972AE"/>
    <w:rsid w:val="00DA12AF"/>
    <w:rsid w:val="00DA70B9"/>
    <w:rsid w:val="00DA79F8"/>
    <w:rsid w:val="00DB5EA7"/>
    <w:rsid w:val="00DB7564"/>
    <w:rsid w:val="00DC314E"/>
    <w:rsid w:val="00DC4A8C"/>
    <w:rsid w:val="00DC7E9E"/>
    <w:rsid w:val="00DD518A"/>
    <w:rsid w:val="00DE3D1B"/>
    <w:rsid w:val="00DF1A57"/>
    <w:rsid w:val="00E00E25"/>
    <w:rsid w:val="00E02F2E"/>
    <w:rsid w:val="00E1286D"/>
    <w:rsid w:val="00E14045"/>
    <w:rsid w:val="00E14850"/>
    <w:rsid w:val="00E35131"/>
    <w:rsid w:val="00E4492C"/>
    <w:rsid w:val="00E53877"/>
    <w:rsid w:val="00E57D45"/>
    <w:rsid w:val="00E62D2A"/>
    <w:rsid w:val="00E630F4"/>
    <w:rsid w:val="00E6592E"/>
    <w:rsid w:val="00E67FB6"/>
    <w:rsid w:val="00E71E47"/>
    <w:rsid w:val="00E7474A"/>
    <w:rsid w:val="00E82011"/>
    <w:rsid w:val="00E82D9D"/>
    <w:rsid w:val="00E83500"/>
    <w:rsid w:val="00E852E3"/>
    <w:rsid w:val="00E855C5"/>
    <w:rsid w:val="00E8719C"/>
    <w:rsid w:val="00E90680"/>
    <w:rsid w:val="00E926A1"/>
    <w:rsid w:val="00E951AC"/>
    <w:rsid w:val="00EA6A82"/>
    <w:rsid w:val="00EA7272"/>
    <w:rsid w:val="00EB24D5"/>
    <w:rsid w:val="00EB6949"/>
    <w:rsid w:val="00EC45EF"/>
    <w:rsid w:val="00EC61F0"/>
    <w:rsid w:val="00ED0E9E"/>
    <w:rsid w:val="00ED1FCF"/>
    <w:rsid w:val="00ED300D"/>
    <w:rsid w:val="00ED7AD3"/>
    <w:rsid w:val="00EE2E27"/>
    <w:rsid w:val="00EE5B62"/>
    <w:rsid w:val="00EE64E3"/>
    <w:rsid w:val="00EF332B"/>
    <w:rsid w:val="00EF4271"/>
    <w:rsid w:val="00EF6B7C"/>
    <w:rsid w:val="00F066DD"/>
    <w:rsid w:val="00F13AC8"/>
    <w:rsid w:val="00F15B0A"/>
    <w:rsid w:val="00F16C6F"/>
    <w:rsid w:val="00F2231D"/>
    <w:rsid w:val="00F24F1E"/>
    <w:rsid w:val="00F27FD9"/>
    <w:rsid w:val="00F31FBF"/>
    <w:rsid w:val="00F33C07"/>
    <w:rsid w:val="00F34274"/>
    <w:rsid w:val="00F40E07"/>
    <w:rsid w:val="00F4273D"/>
    <w:rsid w:val="00F443C5"/>
    <w:rsid w:val="00F47BCF"/>
    <w:rsid w:val="00F47D46"/>
    <w:rsid w:val="00F509A8"/>
    <w:rsid w:val="00F6022E"/>
    <w:rsid w:val="00F66528"/>
    <w:rsid w:val="00F71E0B"/>
    <w:rsid w:val="00F733B8"/>
    <w:rsid w:val="00F7680F"/>
    <w:rsid w:val="00F76FA7"/>
    <w:rsid w:val="00F82B3D"/>
    <w:rsid w:val="00F84F5A"/>
    <w:rsid w:val="00F85065"/>
    <w:rsid w:val="00F86193"/>
    <w:rsid w:val="00F86850"/>
    <w:rsid w:val="00F9011F"/>
    <w:rsid w:val="00F90C20"/>
    <w:rsid w:val="00F92475"/>
    <w:rsid w:val="00F9308A"/>
    <w:rsid w:val="00F936EA"/>
    <w:rsid w:val="00F95E8C"/>
    <w:rsid w:val="00F96A0F"/>
    <w:rsid w:val="00FA4D10"/>
    <w:rsid w:val="00FA7E95"/>
    <w:rsid w:val="00FB0CE9"/>
    <w:rsid w:val="00FB5E31"/>
    <w:rsid w:val="00FB6DA4"/>
    <w:rsid w:val="00FC4482"/>
    <w:rsid w:val="00FC486F"/>
    <w:rsid w:val="00FD55BA"/>
    <w:rsid w:val="00FD659A"/>
    <w:rsid w:val="00FD6C4D"/>
    <w:rsid w:val="00FD7BD8"/>
    <w:rsid w:val="00FE164A"/>
    <w:rsid w:val="00FE1D5D"/>
    <w:rsid w:val="00FF2512"/>
    <w:rsid w:val="00FF25F6"/>
    <w:rsid w:val="00FF38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7DDF"/>
  <w15:chartTrackingRefBased/>
  <w15:docId w15:val="{1B8E251B-20D4-4A34-BA2D-6800C838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64A6"/>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1"/>
      </w:numPr>
      <w:spacing w:before="120" w:after="120" w:line="260" w:lineRule="atLeast"/>
      <w:jc w:val="both"/>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semiHidden/>
    <w:unhideWhenUsed/>
    <w:qFormat/>
    <w:rsid w:val="00EA6A82"/>
    <w:pPr>
      <w:spacing w:after="120" w:line="240" w:lineRule="exact"/>
      <w:jc w:val="both"/>
    </w:pPr>
    <w:rPr>
      <w:sz w:val="18"/>
      <w:szCs w:val="20"/>
    </w:rPr>
  </w:style>
  <w:style w:type="character" w:customStyle="1" w:styleId="FootnoteTextChar">
    <w:name w:val="Footnote Text Char"/>
    <w:basedOn w:val="DefaultParagraphFont"/>
    <w:link w:val="FootnoteText"/>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ootnote"/>
    <w:basedOn w:val="DefaultParagraphFont"/>
    <w:semiHidden/>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styleId="BodyText">
    <w:name w:val="Body Text"/>
    <w:basedOn w:val="Normal"/>
    <w:link w:val="BodyTextChar"/>
    <w:uiPriority w:val="99"/>
    <w:semiHidden/>
    <w:unhideWhenUsed/>
    <w:rsid w:val="00304319"/>
    <w:pPr>
      <w:spacing w:after="120"/>
    </w:pPr>
    <w:rPr>
      <w:rFonts w:eastAsia="MS Mincho"/>
    </w:rPr>
  </w:style>
  <w:style w:type="character" w:customStyle="1" w:styleId="BodyTextChar">
    <w:name w:val="Body Text Char"/>
    <w:basedOn w:val="DefaultParagraphFont"/>
    <w:link w:val="BodyText"/>
    <w:uiPriority w:val="99"/>
    <w:semiHidden/>
    <w:rsid w:val="00304319"/>
    <w:rPr>
      <w:rFonts w:eastAsia="MS Mincho"/>
    </w:rPr>
  </w:style>
  <w:style w:type="paragraph" w:customStyle="1" w:styleId="EUSRVtectable">
    <w:name w:val="EUSR Vtec table"/>
    <w:basedOn w:val="Normal"/>
    <w:uiPriority w:val="99"/>
    <w:rsid w:val="00304319"/>
    <w:pPr>
      <w:widowControl/>
      <w:numPr>
        <w:numId w:val="36"/>
      </w:numPr>
      <w:spacing w:after="120"/>
    </w:pPr>
    <w:rPr>
      <w:rFonts w:ascii="Arial" w:eastAsia="Times New Roman" w:hAnsi="Arial" w:cs="Arial"/>
      <w:b/>
      <w:i/>
      <w:color w:val="004495"/>
      <w:sz w:val="20"/>
      <w:szCs w:val="20"/>
    </w:rPr>
  </w:style>
  <w:style w:type="character" w:styleId="UnresolvedMention">
    <w:name w:val="Unresolved Mention"/>
    <w:basedOn w:val="DefaultParagraphFont"/>
    <w:uiPriority w:val="99"/>
    <w:semiHidden/>
    <w:unhideWhenUsed/>
    <w:rsid w:val="00FC4482"/>
    <w:rPr>
      <w:color w:val="605E5C"/>
      <w:shd w:val="clear" w:color="auto" w:fill="E1DFDD"/>
    </w:rPr>
  </w:style>
  <w:style w:type="character" w:styleId="FollowedHyperlink">
    <w:name w:val="FollowedHyperlink"/>
    <w:basedOn w:val="DefaultParagraphFont"/>
    <w:uiPriority w:val="99"/>
    <w:semiHidden/>
    <w:unhideWhenUsed/>
    <w:rsid w:val="0018014A"/>
    <w:rPr>
      <w:color w:val="800080" w:themeColor="followedHyperlink"/>
      <w:u w:val="single"/>
    </w:rPr>
  </w:style>
  <w:style w:type="paragraph" w:customStyle="1" w:styleId="Default">
    <w:name w:val="Default"/>
    <w:rsid w:val="00855D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8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maker.cloud.nanosolveit.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arsou@novamechanic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alos.novamechanic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szeta.cloud.nanosolveit.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oecd.org/chemicalsafety/risk-assessment/qsar-assessment-framework-annex-1-qsar-model-reporting-format.docx"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oecd-en.xsl" StyleName="OECD English" Version="20220221"/>
</file>

<file path=customXml/item2.xml>��< ? x m l   v e r s i o n = " 1 . 0 "   e n c o d i n g = " u t f - 1 6 " ? > < r e f - c o t e s   x m l n s : x s d = " h t t p : / / w w w . w 3 . o r g / 2 0 0 1 / X M L S c h e m a "   x m l n s : x s i = " h t t p : / / w w w . w 3 . o r g / 2 0 0 1 / X M L S c h e m a - i n s t a n c e "   V e r s i o n = " 3 . 6 "   x m l n s = " h t t p : / / w w w . o e c d . o r g / o n e a u t h o r / 2 0 1 6 / c o t e s " / > 
</file>

<file path=customXml/itemProps1.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customXml/itemProps2.xml><?xml version="1.0" encoding="utf-8"?>
<ds:datastoreItem xmlns:ds="http://schemas.openxmlformats.org/officeDocument/2006/customXml" ds:itemID="{5F5062D8-055D-437A-9A3E-193FF35E183C}">
  <ds:schemaRefs>
    <ds:schemaRef ds:uri="http://www.w3.org/2001/XMLSchema"/>
    <ds:schemaRef ds:uri="http://www.oecd.org/oneauthor/2016/cotes"/>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476</TotalTime>
  <Pages>7</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ANNEX I – (Q)SAR model reporting format (QMRF) v.2.1</vt:lpstr>
    </vt:vector>
  </TitlesOfParts>
  <Company>OECD</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 (Q)SAR model reporting format (QMRF) v.2.1</dc:title>
  <dc:subject>Series on Testing and Assessment
No. 386</dc:subject>
  <dc:creator>AOYAGI Tomoko</dc:creator>
  <cp:keywords>ENV/CBC/MONO(2023)32/ANN1</cp:keywords>
  <dc:description/>
  <cp:lastModifiedBy>Dimitra Danai Varsou</cp:lastModifiedBy>
  <cp:revision>101</cp:revision>
  <dcterms:created xsi:type="dcterms:W3CDTF">2024-02-28T09:57:00Z</dcterms:created>
  <dcterms:modified xsi:type="dcterms:W3CDTF">2024-05-17T09:56:00Z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DBAE273F804F17273C86EC940410712749C57B532BFAC595066168EDD2BE9385</vt:lpwstr>
  </property>
  <property fmtid="{D5CDD505-2E9C-101B-9397-08002B2CF9AE}" pid="7" name="OecdDocumentCoteLangHash">
    <vt:lpwstr>7D305A677BE7BD5404AA96B6091C382AC3DE09FF3722890B7D85C97F28A4F9F3</vt:lpwstr>
  </property>
  <property fmtid="{D5CDD505-2E9C-101B-9397-08002B2CF9AE}" pid="8" name="OECDEventId">
    <vt:lpwstr/>
  </property>
  <property fmtid="{D5CDD505-2E9C-101B-9397-08002B2CF9AE}" pid="9" name="OECDDocumentValidationErrors">
    <vt:lpwstr>0</vt:lpwstr>
  </property>
  <property fmtid="{D5CDD505-2E9C-101B-9397-08002B2CF9AE}" pid="10" name="OECDDocumentValidationWarnings">
    <vt:lpwstr>0</vt:lpwstr>
  </property>
  <property fmtid="{D5CDD505-2E9C-101B-9397-08002B2CF9AE}" pid="11" name="OECDDocumentValidationWordCount">
    <vt:lpwstr>6016</vt:lpwstr>
  </property>
  <property fmtid="{D5CDD505-2E9C-101B-9397-08002B2CF9AE}" pid="12" name="OECDDocumentValidationDate">
    <vt:lpwstr>08/17/2023 14:17:59</vt:lpwstr>
  </property>
  <property fmtid="{D5CDD505-2E9C-101B-9397-08002B2CF9AE}" pid="13" name="OECDDocumentCote">
    <vt:lpwstr>ENV/CBC/MONO(2023)32/ANN1</vt:lpwstr>
  </property>
  <property fmtid="{D5CDD505-2E9C-101B-9397-08002B2CF9AE}" pid="14" name="OECDDocumentDirectorate">
    <vt:lpwstr>ENVIRONMENT DIRECTORATE</vt:lpwstr>
  </property>
  <property fmtid="{D5CDD505-2E9C-101B-9397-08002B2CF9AE}" pid="15" name="OECDDocumentCommittee">
    <vt:lpwstr>CHEMICALS AND BIOTECHNOLOGY COMMITTEE</vt:lpwstr>
  </property>
  <property fmtid="{D5CDD505-2E9C-101B-9397-08002B2CF9AE}" pid="16" name="OECDDocumentWorkingParty">
    <vt:lpwstr/>
  </property>
  <property fmtid="{D5CDD505-2E9C-101B-9397-08002B2CF9AE}" pid="17" name="OECDDocumentClassification">
    <vt:lpwstr>Unclassified</vt:lpwstr>
  </property>
  <property fmtid="{D5CDD505-2E9C-101B-9397-08002B2CF9AE}" pid="18" name="OECDDocumentDocumentAbstract">
    <vt:lpwstr>The (Q)SAR Assessment Framework document is available under the cote ENV/CBC/MONO(2023)32.</vt:lpwstr>
  </property>
  <property fmtid="{D5CDD505-2E9C-101B-9397-08002B2CF9AE}" pid="19" name="OECDDocumentContactInfo">
    <vt:lpwstr/>
  </property>
  <property fmtid="{D5CDD505-2E9C-101B-9397-08002B2CF9AE}" pid="20" name="OECDDocumentDocumentLanguage">
    <vt:lpwstr>English</vt:lpwstr>
  </property>
  <property fmtid="{D5CDD505-2E9C-101B-9397-08002B2CF9AE}" pid="21" name="OECDDocumentOriginalLanguage">
    <vt:lpwstr>English</vt:lpwstr>
  </property>
  <property fmtid="{D5CDD505-2E9C-101B-9397-08002B2CF9AE}" pid="22" name="OECDDocumentSubmissionDate">
    <vt:lpwstr/>
  </property>
  <property fmtid="{D5CDD505-2E9C-101B-9397-08002B2CF9AE}" pid="23" name="OECDDocumentSubmissionAuthor">
    <vt:lpwstr>KAYES Bryony</vt:lpwstr>
  </property>
  <property fmtid="{D5CDD505-2E9C-101B-9397-08002B2CF9AE}" pid="24" name="OECDDocumentJobTicket">
    <vt:lpwstr>JT03524221</vt:lpwstr>
  </property>
  <property fmtid="{D5CDD505-2E9C-101B-9397-08002B2CF9AE}" pid="25" name="OECDDocumentJobTicketHash">
    <vt:lpwstr>44A44C5A2FDFFC9C20AEEA2AF58F86AF527F5ACC07304A2052DB323AAD0D8C71</vt:lpwstr>
  </property>
  <property fmtid="{D5CDD505-2E9C-101B-9397-08002B2CF9AE}" pid="26" name="OECDDocumentHasBeenSubmitted">
    <vt:lpwstr>False</vt:lpwstr>
  </property>
  <property fmtid="{D5CDD505-2E9C-101B-9397-08002B2CF9AE}" pid="27" name="OECDDocumentPreviousJobTicket">
    <vt:lpwstr/>
  </property>
  <property fmtid="{D5CDD505-2E9C-101B-9397-08002B2CF9AE}" pid="28" name="OECDDocumentDateOfReplacedDocument">
    <vt:lpwstr/>
  </property>
  <property fmtid="{D5CDD505-2E9C-101B-9397-08002B2CF9AE}" pid="29" name="Mendeley Recent Style Id 0_1">
    <vt:lpwstr>http://www.zotero.org/styles/american-political-science-association</vt:lpwstr>
  </property>
  <property fmtid="{D5CDD505-2E9C-101B-9397-08002B2CF9AE}" pid="30" name="Mendeley Recent Style Name 0_1">
    <vt:lpwstr>American Political Science Association</vt:lpwstr>
  </property>
  <property fmtid="{D5CDD505-2E9C-101B-9397-08002B2CF9AE}" pid="31" name="Mendeley Recent Style Id 1_1">
    <vt:lpwstr>http://www.zotero.org/styles/american-sociological-association</vt:lpwstr>
  </property>
  <property fmtid="{D5CDD505-2E9C-101B-9397-08002B2CF9AE}" pid="32" name="Mendeley Recent Style Name 1_1">
    <vt:lpwstr>American Sociological Association 6th edition</vt:lpwstr>
  </property>
  <property fmtid="{D5CDD505-2E9C-101B-9397-08002B2CF9AE}" pid="33" name="Mendeley Recent Style Id 2_1">
    <vt:lpwstr>http://www.zotero.org/styles/chicago-author-date</vt:lpwstr>
  </property>
  <property fmtid="{D5CDD505-2E9C-101B-9397-08002B2CF9AE}" pid="34" name="Mendeley Recent Style Name 2_1">
    <vt:lpwstr>Chicago Manual of Style 17th edition (author-date)</vt:lpwstr>
  </property>
  <property fmtid="{D5CDD505-2E9C-101B-9397-08002B2CF9AE}" pid="35" name="Mendeley Recent Style Id 3_1">
    <vt:lpwstr>http://www.zotero.org/styles/harvard-cite-them-right</vt:lpwstr>
  </property>
  <property fmtid="{D5CDD505-2E9C-101B-9397-08002B2CF9AE}" pid="36" name="Mendeley Recent Style Name 3_1">
    <vt:lpwstr>Cite Them Right 12th edition - Harvard</vt:lpwstr>
  </property>
  <property fmtid="{D5CDD505-2E9C-101B-9397-08002B2CF9AE}" pid="37" name="Mendeley Recent Style Id 4_1">
    <vt:lpwstr>http://www.zotero.org/styles/computational-and-structural-biotechnology-journal</vt:lpwstr>
  </property>
  <property fmtid="{D5CDD505-2E9C-101B-9397-08002B2CF9AE}" pid="38" name="Mendeley Recent Style Name 4_1">
    <vt:lpwstr>Computational and Structural Biotechnology Journal</vt:lpwstr>
  </property>
  <property fmtid="{D5CDD505-2E9C-101B-9397-08002B2CF9AE}" pid="39" name="Mendeley Recent Style Id 5_1">
    <vt:lpwstr>http://www.zotero.org/styles/ieee</vt:lpwstr>
  </property>
  <property fmtid="{D5CDD505-2E9C-101B-9397-08002B2CF9AE}" pid="40" name="Mendeley Recent Style Name 5_1">
    <vt:lpwstr>IEEE</vt:lpwstr>
  </property>
  <property fmtid="{D5CDD505-2E9C-101B-9397-08002B2CF9AE}" pid="41" name="Mendeley Recent Style Id 6_1">
    <vt:lpwstr>http://www.zotero.org/styles/modern-humanities-research-association</vt:lpwstr>
  </property>
  <property fmtid="{D5CDD505-2E9C-101B-9397-08002B2CF9AE}" pid="42" name="Mendeley Recent Style Name 6_1">
    <vt:lpwstr>Modern Humanities Research Association 3rd edition (note with bibliography)</vt:lpwstr>
  </property>
  <property fmtid="{D5CDD505-2E9C-101B-9397-08002B2CF9AE}" pid="43" name="Mendeley Recent Style Id 7_1">
    <vt:lpwstr>http://www.zotero.org/styles/modern-language-association</vt:lpwstr>
  </property>
  <property fmtid="{D5CDD505-2E9C-101B-9397-08002B2CF9AE}" pid="44" name="Mendeley Recent Style Name 7_1">
    <vt:lpwstr>Modern Language Association 9th edition</vt:lpwstr>
  </property>
  <property fmtid="{D5CDD505-2E9C-101B-9397-08002B2CF9AE}" pid="45" name="Mendeley Recent Style Id 8_1">
    <vt:lpwstr>http://www.zotero.org/styles/nature</vt:lpwstr>
  </property>
  <property fmtid="{D5CDD505-2E9C-101B-9397-08002B2CF9AE}" pid="46" name="Mendeley Recent Style Name 8_1">
    <vt:lpwstr>Nature</vt:lpwstr>
  </property>
  <property fmtid="{D5CDD505-2E9C-101B-9397-08002B2CF9AE}" pid="47" name="Mendeley Recent Style Id 9_1">
    <vt:lpwstr>http://www.zotero.org/styles/royal-society-of-chemistry</vt:lpwstr>
  </property>
  <property fmtid="{D5CDD505-2E9C-101B-9397-08002B2CF9AE}" pid="48" name="Mendeley Recent Style Name 9_1">
    <vt:lpwstr>Royal Society of Chemistry</vt:lpwstr>
  </property>
</Properties>
</file>