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6CCD" w14:textId="77777777" w:rsidR="00D917CA" w:rsidRPr="00C03044" w:rsidRDefault="00C03044" w:rsidP="00C03044">
      <w:pPr>
        <w:spacing w:after="0" w:line="276" w:lineRule="auto"/>
        <w:jc w:val="center"/>
        <w:rPr>
          <w:b/>
          <w:u w:val="single"/>
        </w:rPr>
      </w:pPr>
      <w:r w:rsidRPr="00C03044">
        <w:rPr>
          <w:b/>
          <w:u w:val="single"/>
        </w:rPr>
        <w:t>SUPPLEMENTARY INFORMATION</w:t>
      </w:r>
    </w:p>
    <w:p w14:paraId="1820A1CF" w14:textId="77777777" w:rsidR="001B46AC" w:rsidRDefault="001B46AC" w:rsidP="00C03044">
      <w:pPr>
        <w:spacing w:after="0" w:line="276" w:lineRule="auto"/>
        <w:rPr>
          <w:u w:val="single"/>
        </w:rPr>
      </w:pPr>
    </w:p>
    <w:p w14:paraId="36EC318E" w14:textId="632ACA5A" w:rsidR="005D2114" w:rsidRDefault="005D2114" w:rsidP="005D2114">
      <w:pPr>
        <w:jc w:val="center"/>
        <w:rPr>
          <w:b/>
        </w:rPr>
      </w:pPr>
      <w:r>
        <w:rPr>
          <w:b/>
        </w:rPr>
        <w:t xml:space="preserve">The influence of porosity on nanoparticle formation </w:t>
      </w:r>
      <w:r w:rsidR="00E743C3">
        <w:rPr>
          <w:b/>
        </w:rPr>
        <w:t xml:space="preserve">in </w:t>
      </w:r>
      <w:r>
        <w:rPr>
          <w:b/>
        </w:rPr>
        <w:t>hierarchical aluminophosphates</w:t>
      </w:r>
    </w:p>
    <w:p w14:paraId="3DD4E86D" w14:textId="389061FD" w:rsidR="00326F86" w:rsidRPr="009B6848" w:rsidRDefault="00326F86" w:rsidP="00326F86">
      <w:pPr>
        <w:jc w:val="center"/>
      </w:pPr>
      <w:r w:rsidRPr="00D13159">
        <w:t>Matthew E. Potter</w:t>
      </w:r>
      <w:r w:rsidRPr="00D13159">
        <w:rPr>
          <w:vertAlign w:val="superscript"/>
        </w:rPr>
        <w:t>a</w:t>
      </w:r>
      <w:r>
        <w:t>*</w:t>
      </w:r>
      <w:r w:rsidRPr="00D13159">
        <w:t>, Lauren N. Riley</w:t>
      </w:r>
      <w:r w:rsidRPr="00D13159">
        <w:rPr>
          <w:vertAlign w:val="superscript"/>
        </w:rPr>
        <w:t>a</w:t>
      </w:r>
      <w:r>
        <w:t>,</w:t>
      </w:r>
      <w:r w:rsidRPr="00D13159">
        <w:t xml:space="preserve"> </w:t>
      </w:r>
      <w:r>
        <w:t>Alice E. Oakley</w:t>
      </w:r>
      <w:r>
        <w:rPr>
          <w:vertAlign w:val="superscript"/>
        </w:rPr>
        <w:t>a</w:t>
      </w:r>
      <w:r>
        <w:t xml:space="preserve">, </w:t>
      </w:r>
      <w:r w:rsidRPr="00D13159">
        <w:t xml:space="preserve">Panashe </w:t>
      </w:r>
      <w:r w:rsidR="003065EE">
        <w:t xml:space="preserve">M. </w:t>
      </w:r>
      <w:bookmarkStart w:id="0" w:name="_GoBack"/>
      <w:bookmarkEnd w:id="0"/>
      <w:r w:rsidRPr="00D13159">
        <w:t>Mhembere</w:t>
      </w:r>
      <w:r>
        <w:rPr>
          <w:vertAlign w:val="superscript"/>
        </w:rPr>
        <w:t>a</w:t>
      </w:r>
      <w:r>
        <w:t>, June Callison</w:t>
      </w:r>
      <w:r>
        <w:rPr>
          <w:vertAlign w:val="superscript"/>
        </w:rPr>
        <w:t>b,c</w:t>
      </w:r>
      <w:r w:rsidRPr="00D13159">
        <w:t xml:space="preserve"> and Robert Raja</w:t>
      </w:r>
      <w:r>
        <w:rPr>
          <w:vertAlign w:val="superscript"/>
        </w:rPr>
        <w:t>a</w:t>
      </w:r>
      <w:r>
        <w:t>*</w:t>
      </w:r>
    </w:p>
    <w:p w14:paraId="2BE57AF6" w14:textId="77777777" w:rsidR="00326F86" w:rsidRPr="00D13159" w:rsidRDefault="00326F86" w:rsidP="00326F86">
      <w:pPr>
        <w:jc w:val="center"/>
      </w:pPr>
      <w:r w:rsidRPr="00D13159">
        <w:t xml:space="preserve">Email: </w:t>
      </w:r>
      <w:hyperlink r:id="rId6" w:history="1">
        <w:r w:rsidRPr="00DD50A3">
          <w:rPr>
            <w:rStyle w:val="Hyperlink"/>
          </w:rPr>
          <w:t>M.E.Potter@soton.ac.uk</w:t>
        </w:r>
      </w:hyperlink>
      <w:r>
        <w:t xml:space="preserve">, </w:t>
      </w:r>
      <w:hyperlink r:id="rId7" w:history="1">
        <w:r w:rsidRPr="00DD50A3">
          <w:rPr>
            <w:rStyle w:val="Hyperlink"/>
          </w:rPr>
          <w:t>R.Raja@soton.ac.uk</w:t>
        </w:r>
      </w:hyperlink>
      <w:r>
        <w:t xml:space="preserve"> </w:t>
      </w:r>
    </w:p>
    <w:p w14:paraId="1DAAEF49" w14:textId="77777777" w:rsidR="00326F86" w:rsidRDefault="00326F86" w:rsidP="00326F86">
      <w:r>
        <w:t xml:space="preserve">a) </w:t>
      </w:r>
      <w:r w:rsidRPr="00D13159">
        <w:t>Department of Chemistry, University of Southampton, Highfield Campus, Highfield, Southampton, SO17 1BJ, UK</w:t>
      </w:r>
      <w:r>
        <w:t xml:space="preserve">. </w:t>
      </w:r>
    </w:p>
    <w:p w14:paraId="41AA74AC" w14:textId="77777777" w:rsidR="00326F86" w:rsidRDefault="00326F86" w:rsidP="00326F86">
      <w:r>
        <w:t>b) UK Catalysis Hub, Research Complex at Harwell, Rutherford Appleton Labs, Harwell Campus, OX11 0FA, UK.</w:t>
      </w:r>
    </w:p>
    <w:p w14:paraId="434ACA51" w14:textId="77777777" w:rsidR="00326F86" w:rsidRPr="00D13159" w:rsidRDefault="00326F86" w:rsidP="00326F86">
      <w:r>
        <w:t>c) Department of Chemistry, University College London, 20 Gordon Street, London, WC1H 0AJ, UK.</w:t>
      </w:r>
    </w:p>
    <w:p w14:paraId="27406B7B" w14:textId="77777777" w:rsidR="00326F86" w:rsidRDefault="00326F86" w:rsidP="00326F86">
      <w:pPr>
        <w:jc w:val="both"/>
        <w:rPr>
          <w:b/>
        </w:rPr>
      </w:pPr>
    </w:p>
    <w:p w14:paraId="6D68104B" w14:textId="58373936" w:rsidR="00326F86" w:rsidRDefault="00326F86" w:rsidP="00326F86">
      <w:pPr>
        <w:jc w:val="both"/>
      </w:pPr>
      <w:r w:rsidRPr="00334059">
        <w:t>ORCID</w:t>
      </w:r>
      <w:r>
        <w:t xml:space="preserve"> iDs</w:t>
      </w:r>
      <w:r w:rsidRPr="00334059">
        <w:t>:</w:t>
      </w:r>
      <w:r>
        <w:rPr>
          <w:b/>
        </w:rPr>
        <w:t xml:space="preserve"> </w:t>
      </w:r>
      <w:r>
        <w:t>Matthew E. Potter (</w:t>
      </w:r>
      <w:r w:rsidRPr="00334059">
        <w:t>0000-0001-9849-3306</w:t>
      </w:r>
      <w:r>
        <w:t>), Alice E. Oakley (</w:t>
      </w:r>
      <w:r w:rsidRPr="00C71242">
        <w:t>0000-0002-5489-9424</w:t>
      </w:r>
      <w:r>
        <w:t xml:space="preserve">), </w:t>
      </w:r>
      <w:r w:rsidR="000756B6">
        <w:t>Panashe Mhembere (</w:t>
      </w:r>
      <w:r w:rsidR="00F424FE" w:rsidRPr="00F424FE">
        <w:t>0000-0002-1219-8486</w:t>
      </w:r>
      <w:r w:rsidR="000756B6">
        <w:t xml:space="preserve">), </w:t>
      </w:r>
      <w:r>
        <w:t>June Callison (</w:t>
      </w:r>
      <w:r w:rsidRPr="005D48EE">
        <w:t>0000-0003-4506-1862</w:t>
      </w:r>
      <w:r>
        <w:t>), Robert Raja (</w:t>
      </w:r>
      <w:r w:rsidRPr="00334059">
        <w:t>0000-0002-4161-7053</w:t>
      </w:r>
      <w:r>
        <w:t>)</w:t>
      </w:r>
      <w:r w:rsidR="00F424FE">
        <w:t>.</w:t>
      </w:r>
    </w:p>
    <w:p w14:paraId="585676A4" w14:textId="77777777" w:rsidR="00933396" w:rsidRDefault="00933396" w:rsidP="00933396">
      <w:pPr>
        <w:jc w:val="center"/>
        <w:rPr>
          <w:b/>
        </w:rPr>
      </w:pPr>
    </w:p>
    <w:p w14:paraId="08125250" w14:textId="77777777" w:rsidR="00985BDB" w:rsidRDefault="00933396" w:rsidP="00796E37">
      <w:pPr>
        <w:jc w:val="center"/>
        <w:rPr>
          <w:b/>
        </w:rPr>
      </w:pPr>
      <w:r>
        <w:rPr>
          <w:b/>
        </w:rPr>
        <w:t>Contents</w:t>
      </w:r>
    </w:p>
    <w:p w14:paraId="41EC8DA5" w14:textId="77777777" w:rsidR="00933396" w:rsidRPr="003028B1" w:rsidRDefault="00985BDB" w:rsidP="00D13159">
      <w:pPr>
        <w:spacing w:afterLines="160" w:after="384"/>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933396">
        <w:rPr>
          <w:b/>
        </w:rPr>
        <w:t>Page No.</w:t>
      </w:r>
    </w:p>
    <w:p w14:paraId="2B02D0D4" w14:textId="77777777" w:rsidR="00933396" w:rsidRPr="003028B1" w:rsidRDefault="003028B1" w:rsidP="00D13159">
      <w:pPr>
        <w:spacing w:afterLines="160" w:after="384" w:line="360" w:lineRule="auto"/>
      </w:pPr>
      <w:r w:rsidRPr="003028B1">
        <w:t>Experimental section</w:t>
      </w:r>
      <w:r w:rsidRPr="003028B1">
        <w:tab/>
      </w:r>
      <w:r w:rsidRPr="003028B1">
        <w:tab/>
      </w:r>
      <w:r w:rsidRPr="003028B1">
        <w:tab/>
      </w:r>
      <w:r w:rsidRPr="003028B1">
        <w:tab/>
      </w:r>
      <w:r w:rsidRPr="003028B1">
        <w:tab/>
      </w:r>
      <w:r w:rsidRPr="003028B1">
        <w:tab/>
      </w:r>
      <w:r w:rsidRPr="003028B1">
        <w:tab/>
      </w:r>
      <w:r w:rsidRPr="003028B1">
        <w:tab/>
      </w:r>
      <w:r w:rsidRPr="003028B1">
        <w:tab/>
        <w:t>S2</w:t>
      </w:r>
    </w:p>
    <w:p w14:paraId="26121F59" w14:textId="06C0EAFB" w:rsidR="00933396" w:rsidRDefault="003028B1" w:rsidP="003028B1">
      <w:pPr>
        <w:spacing w:afterLines="160" w:after="384" w:line="360" w:lineRule="auto"/>
      </w:pPr>
      <w:r w:rsidRPr="003028B1">
        <w:t xml:space="preserve">Comparison of </w:t>
      </w:r>
      <w:r w:rsidR="002C5722">
        <w:t xml:space="preserve">bare </w:t>
      </w:r>
      <w:r w:rsidRPr="003028B1">
        <w:t>M</w:t>
      </w:r>
      <w:r w:rsidR="00E743C3">
        <w:t>P</w:t>
      </w:r>
      <w:r w:rsidRPr="003028B1">
        <w:t>-SAPO-5 and HP-SAPO-5</w:t>
      </w:r>
      <w:r w:rsidRPr="003028B1">
        <w:tab/>
      </w:r>
      <w:r w:rsidR="002C5722">
        <w:t>supports</w:t>
      </w:r>
      <w:r w:rsidRPr="003028B1">
        <w:tab/>
      </w:r>
      <w:r w:rsidRPr="003028B1">
        <w:tab/>
      </w:r>
      <w:r w:rsidRPr="003028B1">
        <w:tab/>
      </w:r>
      <w:r w:rsidRPr="003028B1">
        <w:tab/>
        <w:t>S4</w:t>
      </w:r>
    </w:p>
    <w:p w14:paraId="20495401" w14:textId="77777777" w:rsidR="003028B1" w:rsidRDefault="003028B1" w:rsidP="003028B1">
      <w:pPr>
        <w:spacing w:afterLines="160" w:after="384" w:line="360" w:lineRule="auto"/>
      </w:pPr>
      <w:r w:rsidRPr="003028B1">
        <w:t>Physicochemical properties of Au/SAPO-5 systems</w:t>
      </w:r>
      <w:r>
        <w:tab/>
      </w:r>
      <w:r>
        <w:tab/>
      </w:r>
      <w:r>
        <w:tab/>
      </w:r>
      <w:r>
        <w:tab/>
      </w:r>
      <w:r>
        <w:tab/>
        <w:t>S6</w:t>
      </w:r>
    </w:p>
    <w:p w14:paraId="38286675" w14:textId="77777777" w:rsidR="003028B1" w:rsidRDefault="003028B1" w:rsidP="003028B1">
      <w:pPr>
        <w:spacing w:afterLines="160" w:after="384" w:line="360" w:lineRule="auto"/>
      </w:pPr>
      <w:r w:rsidRPr="003028B1">
        <w:t>Probing the gold species on deposited systems with UV/Vis spectroscopy</w:t>
      </w:r>
      <w:r>
        <w:tab/>
      </w:r>
      <w:r>
        <w:tab/>
        <w:t>S9</w:t>
      </w:r>
    </w:p>
    <w:p w14:paraId="00EF63E9" w14:textId="77777777" w:rsidR="003028B1" w:rsidRDefault="003028B1" w:rsidP="003028B1">
      <w:pPr>
        <w:spacing w:afterLines="160" w:after="384" w:line="360" w:lineRule="auto"/>
      </w:pPr>
      <w:r w:rsidRPr="003028B1">
        <w:t xml:space="preserve">Probing the gold species on deposited systems with </w:t>
      </w:r>
      <w:r>
        <w:t>XAS spectroscopy</w:t>
      </w:r>
      <w:r>
        <w:tab/>
      </w:r>
      <w:r>
        <w:tab/>
      </w:r>
      <w:r>
        <w:tab/>
        <w:t>S10</w:t>
      </w:r>
    </w:p>
    <w:p w14:paraId="7AD8871B" w14:textId="77777777" w:rsidR="0074250C" w:rsidRDefault="0074250C" w:rsidP="003028B1">
      <w:pPr>
        <w:spacing w:afterLines="160" w:after="384" w:line="360" w:lineRule="auto"/>
      </w:pPr>
      <w:r>
        <w:t>Toluene oxidation results</w:t>
      </w:r>
      <w:r>
        <w:tab/>
      </w:r>
      <w:r>
        <w:tab/>
      </w:r>
      <w:r>
        <w:tab/>
      </w:r>
      <w:r>
        <w:tab/>
      </w:r>
      <w:r>
        <w:tab/>
      </w:r>
      <w:r>
        <w:tab/>
      </w:r>
      <w:r>
        <w:tab/>
      </w:r>
      <w:r>
        <w:tab/>
        <w:t>S13</w:t>
      </w:r>
    </w:p>
    <w:p w14:paraId="5FC4101E" w14:textId="77777777" w:rsidR="0074250C" w:rsidRPr="003028B1" w:rsidRDefault="0074250C" w:rsidP="003028B1">
      <w:pPr>
        <w:spacing w:afterLines="160" w:after="384" w:line="360" w:lineRule="auto"/>
      </w:pPr>
      <w:r>
        <w:t>References</w:t>
      </w:r>
      <w:r>
        <w:tab/>
      </w:r>
      <w:r>
        <w:tab/>
      </w:r>
      <w:r>
        <w:tab/>
      </w:r>
      <w:r>
        <w:tab/>
      </w:r>
      <w:r>
        <w:tab/>
      </w:r>
      <w:r>
        <w:tab/>
      </w:r>
      <w:r>
        <w:tab/>
      </w:r>
      <w:r>
        <w:tab/>
      </w:r>
      <w:r>
        <w:tab/>
      </w:r>
      <w:r>
        <w:tab/>
        <w:t>S13</w:t>
      </w:r>
    </w:p>
    <w:p w14:paraId="7FAB3745" w14:textId="77777777" w:rsidR="003028B1" w:rsidRDefault="003028B1" w:rsidP="00933396"/>
    <w:p w14:paraId="6674533E" w14:textId="77777777" w:rsidR="003028B1" w:rsidRPr="003028B1" w:rsidRDefault="003028B1" w:rsidP="00933396"/>
    <w:p w14:paraId="17AA510F" w14:textId="77777777" w:rsidR="00933396" w:rsidRDefault="00933396">
      <w:pPr>
        <w:rPr>
          <w:b/>
        </w:rPr>
      </w:pPr>
      <w:r>
        <w:rPr>
          <w:b/>
        </w:rPr>
        <w:br w:type="page"/>
      </w:r>
    </w:p>
    <w:p w14:paraId="7BF476A0" w14:textId="1B852D8D" w:rsidR="001B46AC" w:rsidRPr="001B46AC" w:rsidRDefault="001B46AC" w:rsidP="00C03044">
      <w:pPr>
        <w:spacing w:after="0" w:line="276" w:lineRule="auto"/>
        <w:rPr>
          <w:b/>
        </w:rPr>
      </w:pPr>
      <w:r>
        <w:rPr>
          <w:b/>
        </w:rPr>
        <w:lastRenderedPageBreak/>
        <w:t xml:space="preserve">Experimental </w:t>
      </w:r>
      <w:r w:rsidR="002C5722">
        <w:rPr>
          <w:b/>
        </w:rPr>
        <w:t>s</w:t>
      </w:r>
      <w:r>
        <w:rPr>
          <w:b/>
        </w:rPr>
        <w:t>ection</w:t>
      </w:r>
    </w:p>
    <w:p w14:paraId="6C77D195" w14:textId="77777777" w:rsidR="00C03044" w:rsidRPr="00C03044" w:rsidRDefault="00C03044" w:rsidP="00C03044">
      <w:pPr>
        <w:spacing w:after="0" w:line="276" w:lineRule="auto"/>
        <w:rPr>
          <w:u w:val="single"/>
        </w:rPr>
      </w:pPr>
      <w:r w:rsidRPr="00C03044">
        <w:rPr>
          <w:u w:val="single"/>
        </w:rPr>
        <w:t>SAPO-5 synthesis</w:t>
      </w:r>
    </w:p>
    <w:p w14:paraId="4BB02BE7" w14:textId="320343F9" w:rsidR="00C03044" w:rsidRPr="00C3740A" w:rsidRDefault="000D33EF" w:rsidP="00C03044">
      <w:pPr>
        <w:spacing w:after="0" w:line="276" w:lineRule="auto"/>
        <w:jc w:val="both"/>
      </w:pPr>
      <w:r>
        <w:t>As per our previous work,</w:t>
      </w:r>
      <w:r>
        <w:rPr>
          <w:vertAlign w:val="superscript"/>
        </w:rPr>
        <w:t>[S1]</w:t>
      </w:r>
      <w:r>
        <w:t xml:space="preserve"> f</w:t>
      </w:r>
      <w:r w:rsidR="00C03044" w:rsidRPr="00C03044">
        <w:t>or the synthesis of M</w:t>
      </w:r>
      <w:r w:rsidR="00E743C3">
        <w:t>P</w:t>
      </w:r>
      <w:r w:rsidR="00C03044" w:rsidRPr="00C03044">
        <w:t>-SAPO-5, pseudo boehmite (3.0 g), H</w:t>
      </w:r>
      <w:r w:rsidR="00C03044" w:rsidRPr="00C03044">
        <w:rPr>
          <w:vertAlign w:val="subscript"/>
        </w:rPr>
        <w:t>3</w:t>
      </w:r>
      <w:r w:rsidR="00C03044" w:rsidRPr="00C03044">
        <w:t>PO</w:t>
      </w:r>
      <w:r w:rsidR="00C03044" w:rsidRPr="00C03044">
        <w:rPr>
          <w:vertAlign w:val="subscript"/>
        </w:rPr>
        <w:t>4</w:t>
      </w:r>
      <w:r w:rsidR="00C03044" w:rsidRPr="00C03044">
        <w:t xml:space="preserve"> (5.8 g, 85 wt. % in water) and deionised water (22.5 mL) were added to a small teflon beaker and left to stir for 4 hours. Triethylamine (TEA) (5.0 g) and colloidal silica gel (1.5 g) were added dropwise sequentially to the </w:t>
      </w:r>
      <w:r w:rsidR="00CB6DCC">
        <w:t>gel</w:t>
      </w:r>
      <w:r w:rsidR="00C03044" w:rsidRPr="00C03044">
        <w:t xml:space="preserve"> and </w:t>
      </w:r>
      <w:r w:rsidR="00CB6DCC">
        <w:t>s</w:t>
      </w:r>
      <w:r w:rsidR="00C03044" w:rsidRPr="00C03044">
        <w:t>tir</w:t>
      </w:r>
      <w:r w:rsidR="00CB6DCC">
        <w:t>red</w:t>
      </w:r>
      <w:r w:rsidR="00C03044" w:rsidRPr="00C03044">
        <w:t xml:space="preserve"> for 2 hours. The gel (Table </w:t>
      </w:r>
      <w:r w:rsidR="008F5B3F">
        <w:t>S</w:t>
      </w:r>
      <w:r w:rsidR="00C03044" w:rsidRPr="00C03044">
        <w:t>XX) was then transferred into PTFE lined autoclaves and heated at 200</w:t>
      </w:r>
      <w:r w:rsidR="00C03044" w:rsidRPr="00C03044">
        <w:sym w:font="Symbol" w:char="F0B0"/>
      </w:r>
      <w:r w:rsidR="00C03044" w:rsidRPr="00C03044">
        <w:t xml:space="preserve">C for 24 hours. For HP-SAPO-5, a similar experimental procedure was followed, except </w:t>
      </w:r>
      <w:r w:rsidR="00CB6DCC">
        <w:t xml:space="preserve">42wt% </w:t>
      </w:r>
      <w:r w:rsidR="00C03044" w:rsidRPr="00C03044">
        <w:t>DMOD</w:t>
      </w:r>
      <w:r w:rsidR="00CB6DCC">
        <w:t xml:space="preserve"> in methanol</w:t>
      </w:r>
      <w:r w:rsidR="00C03044" w:rsidRPr="00C03044">
        <w:t xml:space="preserve"> (3.4 mL) was added to the reaction mixture along with the TEA and colloidal silica gel (Table </w:t>
      </w:r>
      <w:r w:rsidR="008F5B3F">
        <w:t>S</w:t>
      </w:r>
      <w:r w:rsidR="00C03044" w:rsidRPr="00C03044">
        <w:t>XX).</w:t>
      </w:r>
      <w:bookmarkStart w:id="1" w:name="_Ref532209759"/>
      <w:r w:rsidR="00C3740A">
        <w:t xml:space="preserve"> Samples were then washed with 1 L of deionised water and dried at 70 </w:t>
      </w:r>
      <w:r w:rsidR="00C3740A">
        <w:rPr>
          <w:vertAlign w:val="superscript"/>
        </w:rPr>
        <w:t>o</w:t>
      </w:r>
      <w:r w:rsidR="00C3740A">
        <w:t xml:space="preserve">C overnight. They were then calcined at 600 </w:t>
      </w:r>
      <w:r w:rsidR="00C3740A">
        <w:rPr>
          <w:vertAlign w:val="superscript"/>
        </w:rPr>
        <w:t>o</w:t>
      </w:r>
      <w:r w:rsidR="00C3740A">
        <w:t xml:space="preserve">C in a flow of air at 2.5 </w:t>
      </w:r>
      <w:r w:rsidR="00C3740A">
        <w:rPr>
          <w:vertAlign w:val="superscript"/>
        </w:rPr>
        <w:t>o</w:t>
      </w:r>
      <w:r w:rsidR="00C3740A">
        <w:t>C/min for 16 hours.</w:t>
      </w:r>
    </w:p>
    <w:p w14:paraId="4091109D" w14:textId="77777777" w:rsidR="00C03044" w:rsidRPr="00C03044" w:rsidRDefault="00C03044" w:rsidP="00C03044">
      <w:pPr>
        <w:spacing w:after="0" w:line="276" w:lineRule="auto"/>
        <w:jc w:val="both"/>
      </w:pPr>
    </w:p>
    <w:p w14:paraId="18372CC2" w14:textId="77777777" w:rsidR="00C03044" w:rsidRPr="00C03044" w:rsidRDefault="00C03044" w:rsidP="00C03044">
      <w:pPr>
        <w:pStyle w:val="Caption"/>
        <w:keepNext/>
        <w:spacing w:after="0" w:line="276" w:lineRule="auto"/>
        <w:rPr>
          <w:rFonts w:asciiTheme="minorHAnsi" w:hAnsiTheme="minorHAnsi" w:cs="Times New Roman"/>
          <w:i w:val="0"/>
          <w:color w:val="000000" w:themeColor="text1"/>
          <w:sz w:val="22"/>
          <w:szCs w:val="22"/>
          <w:lang w:val="en-GB"/>
        </w:rPr>
      </w:pPr>
      <w:bookmarkStart w:id="2" w:name="_Toc7030209"/>
      <w:r w:rsidRPr="00C03044">
        <w:rPr>
          <w:rFonts w:asciiTheme="minorHAnsi" w:hAnsiTheme="minorHAnsi" w:cs="Times New Roman"/>
          <w:i w:val="0"/>
          <w:color w:val="000000" w:themeColor="text1"/>
          <w:sz w:val="22"/>
          <w:szCs w:val="22"/>
          <w:lang w:val="en-GB"/>
        </w:rPr>
        <w:t>Table</w:t>
      </w:r>
      <w:bookmarkEnd w:id="1"/>
      <w:r w:rsidRPr="00C03044">
        <w:rPr>
          <w:rFonts w:asciiTheme="minorHAnsi" w:hAnsiTheme="minorHAnsi" w:cs="Times New Roman"/>
          <w:i w:val="0"/>
          <w:color w:val="000000" w:themeColor="text1"/>
          <w:sz w:val="22"/>
          <w:szCs w:val="22"/>
          <w:lang w:val="en-GB"/>
        </w:rPr>
        <w:t xml:space="preserve"> </w:t>
      </w:r>
      <w:r w:rsidR="008F5B3F">
        <w:rPr>
          <w:rFonts w:asciiTheme="minorHAnsi" w:hAnsiTheme="minorHAnsi" w:cs="Times New Roman"/>
          <w:i w:val="0"/>
          <w:color w:val="000000" w:themeColor="text1"/>
          <w:sz w:val="22"/>
          <w:szCs w:val="22"/>
          <w:lang w:val="en-GB"/>
        </w:rPr>
        <w:t>S</w:t>
      </w:r>
      <w:r w:rsidR="00B27A94">
        <w:rPr>
          <w:rFonts w:asciiTheme="minorHAnsi" w:hAnsiTheme="minorHAnsi" w:cs="Times New Roman"/>
          <w:i w:val="0"/>
          <w:color w:val="000000" w:themeColor="text1"/>
          <w:sz w:val="22"/>
          <w:szCs w:val="22"/>
          <w:lang w:val="en-GB"/>
        </w:rPr>
        <w:t>1</w:t>
      </w:r>
      <w:r w:rsidRPr="00C03044">
        <w:rPr>
          <w:rFonts w:asciiTheme="minorHAnsi" w:hAnsiTheme="minorHAnsi" w:cs="Times New Roman"/>
          <w:i w:val="0"/>
          <w:color w:val="000000" w:themeColor="text1"/>
          <w:sz w:val="22"/>
          <w:szCs w:val="22"/>
          <w:lang w:val="en-GB"/>
        </w:rPr>
        <w:t>: Gel ratios for SAPO-5 catalysts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5598"/>
      </w:tblGrid>
      <w:tr w:rsidR="00C03044" w:rsidRPr="00C03044" w14:paraId="00AAF4D4" w14:textId="77777777" w:rsidTr="00C03044">
        <w:tc>
          <w:tcPr>
            <w:tcW w:w="2519" w:type="dxa"/>
            <w:tcBorders>
              <w:top w:val="single" w:sz="4" w:space="0" w:color="auto"/>
              <w:bottom w:val="single" w:sz="4" w:space="0" w:color="auto"/>
            </w:tcBorders>
          </w:tcPr>
          <w:p w14:paraId="17BCBA2A" w14:textId="77777777" w:rsidR="00C03044" w:rsidRPr="005F38C2" w:rsidRDefault="005F38C2" w:rsidP="00C03044">
            <w:pPr>
              <w:spacing w:line="276" w:lineRule="auto"/>
              <w:rPr>
                <w:sz w:val="18"/>
                <w:szCs w:val="18"/>
              </w:rPr>
            </w:pPr>
            <w:r>
              <w:rPr>
                <w:sz w:val="18"/>
                <w:szCs w:val="18"/>
              </w:rPr>
              <w:t>System</w:t>
            </w:r>
          </w:p>
        </w:tc>
        <w:tc>
          <w:tcPr>
            <w:tcW w:w="5598" w:type="dxa"/>
            <w:tcBorders>
              <w:top w:val="single" w:sz="4" w:space="0" w:color="auto"/>
              <w:bottom w:val="single" w:sz="4" w:space="0" w:color="auto"/>
            </w:tcBorders>
          </w:tcPr>
          <w:p w14:paraId="3E3E8CC3" w14:textId="77777777" w:rsidR="00C03044" w:rsidRPr="005F38C2" w:rsidRDefault="00C03044" w:rsidP="00C03044">
            <w:pPr>
              <w:spacing w:line="276" w:lineRule="auto"/>
              <w:rPr>
                <w:sz w:val="18"/>
                <w:szCs w:val="18"/>
              </w:rPr>
            </w:pPr>
            <w:r w:rsidRPr="005F38C2">
              <w:rPr>
                <w:sz w:val="18"/>
                <w:szCs w:val="18"/>
              </w:rPr>
              <w:t>Gel Composition</w:t>
            </w:r>
          </w:p>
        </w:tc>
      </w:tr>
      <w:tr w:rsidR="00C03044" w:rsidRPr="00C03044" w14:paraId="53D79117" w14:textId="77777777" w:rsidTr="00C03044">
        <w:tc>
          <w:tcPr>
            <w:tcW w:w="2518" w:type="dxa"/>
            <w:tcBorders>
              <w:top w:val="single" w:sz="4" w:space="0" w:color="auto"/>
            </w:tcBorders>
          </w:tcPr>
          <w:p w14:paraId="397F1047" w14:textId="4253886A" w:rsidR="00C03044" w:rsidRPr="005F38C2" w:rsidRDefault="00CB6DCC" w:rsidP="00CB6DCC">
            <w:pPr>
              <w:spacing w:line="276" w:lineRule="auto"/>
              <w:rPr>
                <w:sz w:val="18"/>
                <w:szCs w:val="18"/>
              </w:rPr>
            </w:pPr>
            <w:r w:rsidRPr="005F38C2">
              <w:rPr>
                <w:sz w:val="18"/>
                <w:szCs w:val="18"/>
              </w:rPr>
              <w:t>M</w:t>
            </w:r>
            <w:r w:rsidR="00E743C3">
              <w:rPr>
                <w:sz w:val="18"/>
                <w:szCs w:val="18"/>
              </w:rPr>
              <w:t>P</w:t>
            </w:r>
            <w:r w:rsidR="00C03044" w:rsidRPr="005F38C2">
              <w:rPr>
                <w:sz w:val="18"/>
                <w:szCs w:val="18"/>
              </w:rPr>
              <w:t>-SAPO-5</w:t>
            </w:r>
          </w:p>
        </w:tc>
        <w:tc>
          <w:tcPr>
            <w:tcW w:w="5598" w:type="dxa"/>
            <w:tcBorders>
              <w:top w:val="single" w:sz="4" w:space="0" w:color="auto"/>
            </w:tcBorders>
          </w:tcPr>
          <w:p w14:paraId="5AA05486" w14:textId="77777777" w:rsidR="00C03044" w:rsidRPr="005F38C2" w:rsidRDefault="00C03044" w:rsidP="00C03044">
            <w:pPr>
              <w:spacing w:line="276" w:lineRule="auto"/>
              <w:rPr>
                <w:sz w:val="18"/>
                <w:szCs w:val="18"/>
              </w:rPr>
            </w:pPr>
            <w:r w:rsidRPr="005F38C2">
              <w:rPr>
                <w:sz w:val="18"/>
                <w:szCs w:val="18"/>
              </w:rPr>
              <w:t>2 Al: 2 P: 0.4 Si: 2 TEA: 50 H</w:t>
            </w:r>
            <w:r w:rsidRPr="005F38C2">
              <w:rPr>
                <w:sz w:val="18"/>
                <w:szCs w:val="18"/>
                <w:vertAlign w:val="subscript"/>
              </w:rPr>
              <w:t>2</w:t>
            </w:r>
            <w:r w:rsidRPr="005F38C2">
              <w:rPr>
                <w:sz w:val="18"/>
                <w:szCs w:val="18"/>
              </w:rPr>
              <w:t>O</w:t>
            </w:r>
          </w:p>
        </w:tc>
      </w:tr>
      <w:tr w:rsidR="00C03044" w:rsidRPr="00C03044" w14:paraId="2C1932EE" w14:textId="77777777" w:rsidTr="00C03044">
        <w:tc>
          <w:tcPr>
            <w:tcW w:w="2518" w:type="dxa"/>
            <w:tcBorders>
              <w:bottom w:val="single" w:sz="4" w:space="0" w:color="auto"/>
            </w:tcBorders>
          </w:tcPr>
          <w:p w14:paraId="0FE5F53A" w14:textId="77777777" w:rsidR="00C03044" w:rsidRPr="005F38C2" w:rsidRDefault="00C03044" w:rsidP="00CB6DCC">
            <w:pPr>
              <w:spacing w:line="276" w:lineRule="auto"/>
              <w:rPr>
                <w:sz w:val="18"/>
                <w:szCs w:val="18"/>
              </w:rPr>
            </w:pPr>
            <w:r w:rsidRPr="005F38C2">
              <w:rPr>
                <w:sz w:val="18"/>
                <w:szCs w:val="18"/>
              </w:rPr>
              <w:t>HP-SAPO-5</w:t>
            </w:r>
          </w:p>
        </w:tc>
        <w:tc>
          <w:tcPr>
            <w:tcW w:w="5598" w:type="dxa"/>
            <w:tcBorders>
              <w:bottom w:val="single" w:sz="4" w:space="0" w:color="auto"/>
            </w:tcBorders>
          </w:tcPr>
          <w:p w14:paraId="03FD6BB2" w14:textId="77777777" w:rsidR="00C03044" w:rsidRPr="005F38C2" w:rsidRDefault="00C03044" w:rsidP="00C03044">
            <w:pPr>
              <w:spacing w:line="276" w:lineRule="auto"/>
              <w:rPr>
                <w:sz w:val="18"/>
                <w:szCs w:val="18"/>
              </w:rPr>
            </w:pPr>
            <w:r w:rsidRPr="005F38C2">
              <w:rPr>
                <w:sz w:val="18"/>
                <w:szCs w:val="18"/>
              </w:rPr>
              <w:t>2 Al: 2 P: 0.4 Si: 2 TEA: 50 H</w:t>
            </w:r>
            <w:r w:rsidRPr="005F38C2">
              <w:rPr>
                <w:sz w:val="18"/>
                <w:szCs w:val="18"/>
                <w:vertAlign w:val="subscript"/>
              </w:rPr>
              <w:t>2</w:t>
            </w:r>
            <w:r w:rsidRPr="005F38C2">
              <w:rPr>
                <w:sz w:val="18"/>
                <w:szCs w:val="18"/>
              </w:rPr>
              <w:t>O: 0.01 DMOD</w:t>
            </w:r>
          </w:p>
        </w:tc>
      </w:tr>
    </w:tbl>
    <w:p w14:paraId="5DC38ED4" w14:textId="77777777" w:rsidR="00C03044" w:rsidRDefault="00C03044" w:rsidP="00C03044">
      <w:pPr>
        <w:spacing w:after="0" w:line="276" w:lineRule="auto"/>
      </w:pPr>
    </w:p>
    <w:p w14:paraId="324B47F6" w14:textId="77777777" w:rsidR="00C3740A" w:rsidRDefault="00C3740A" w:rsidP="00C03044">
      <w:pPr>
        <w:spacing w:after="0" w:line="276" w:lineRule="auto"/>
      </w:pPr>
    </w:p>
    <w:p w14:paraId="0D148641" w14:textId="77777777" w:rsidR="0048168E" w:rsidRPr="0048168E" w:rsidRDefault="0048168E" w:rsidP="00C03044">
      <w:pPr>
        <w:spacing w:after="0" w:line="276" w:lineRule="auto"/>
      </w:pPr>
      <w:r>
        <w:rPr>
          <w:u w:val="single"/>
        </w:rPr>
        <w:t>Incipient wetness deposition (IW)</w:t>
      </w:r>
    </w:p>
    <w:p w14:paraId="676F35F1" w14:textId="77777777" w:rsidR="00C3740A" w:rsidRPr="00C3740A" w:rsidRDefault="0048168E" w:rsidP="00C3740A">
      <w:pPr>
        <w:spacing w:after="0" w:line="276" w:lineRule="auto"/>
        <w:jc w:val="both"/>
      </w:pPr>
      <w:r w:rsidRPr="0048168E">
        <w:t>The support (0.5 g) was added to a round bottom flask and stirred while 0.5 mL of a 0.05 M aqueous solution of HAuCl</w:t>
      </w:r>
      <w:r w:rsidRPr="0048168E">
        <w:rPr>
          <w:vertAlign w:val="subscript"/>
        </w:rPr>
        <w:t>4</w:t>
      </w:r>
      <w:r w:rsidRPr="0048168E">
        <w:t>.3H</w:t>
      </w:r>
      <w:r w:rsidRPr="0048168E">
        <w:rPr>
          <w:vertAlign w:val="subscript"/>
        </w:rPr>
        <w:t>2</w:t>
      </w:r>
      <w:r w:rsidRPr="0048168E">
        <w:t>O, was added dropwise, equating to 1 wt% of Au on the support. Deionised water was added dropwise until the support had been evenly wetted. This was left to stir at room temperature for 1 hour, after which the temperature of the stirrer plate was set to 120</w:t>
      </w:r>
      <w:r>
        <w:t xml:space="preserve"> </w:t>
      </w:r>
      <w:r>
        <w:rPr>
          <w:vertAlign w:val="superscript"/>
        </w:rPr>
        <w:t>o</w:t>
      </w:r>
      <w:r w:rsidRPr="0048168E">
        <w:t>C overnight. The solid was transferred onto a watch glass and left in the drying oven at 70</w:t>
      </w:r>
      <w:r>
        <w:t xml:space="preserve"> </w:t>
      </w:r>
      <w:r>
        <w:rPr>
          <w:vertAlign w:val="superscript"/>
        </w:rPr>
        <w:t>o</w:t>
      </w:r>
      <w:r w:rsidRPr="0048168E">
        <w:t xml:space="preserve">C overnight. The </w:t>
      </w:r>
      <w:r w:rsidR="00C3740A">
        <w:t>material</w:t>
      </w:r>
      <w:r w:rsidRPr="0048168E">
        <w:t xml:space="preserve"> was </w:t>
      </w:r>
      <w:r w:rsidR="00C3740A">
        <w:t xml:space="preserve">then calcined at 300 </w:t>
      </w:r>
      <w:r w:rsidR="00C3740A">
        <w:rPr>
          <w:vertAlign w:val="superscript"/>
        </w:rPr>
        <w:t>o</w:t>
      </w:r>
      <w:r w:rsidR="00C3740A">
        <w:t xml:space="preserve">C in a flow of air at 2.5 </w:t>
      </w:r>
      <w:r w:rsidR="00C3740A">
        <w:rPr>
          <w:vertAlign w:val="superscript"/>
        </w:rPr>
        <w:t>o</w:t>
      </w:r>
      <w:r w:rsidR="00C3740A">
        <w:t>C/min for 16 hours.</w:t>
      </w:r>
    </w:p>
    <w:p w14:paraId="30753F96" w14:textId="77777777" w:rsidR="000D5675" w:rsidRDefault="000D5675" w:rsidP="0048168E">
      <w:pPr>
        <w:spacing w:after="0" w:line="276" w:lineRule="auto"/>
        <w:jc w:val="both"/>
      </w:pPr>
    </w:p>
    <w:p w14:paraId="1D151996" w14:textId="77777777" w:rsidR="000D5675" w:rsidRDefault="000D5675" w:rsidP="0048168E">
      <w:pPr>
        <w:spacing w:after="0" w:line="276" w:lineRule="auto"/>
        <w:jc w:val="both"/>
        <w:rPr>
          <w:u w:val="single"/>
        </w:rPr>
      </w:pPr>
      <w:r>
        <w:rPr>
          <w:u w:val="single"/>
        </w:rPr>
        <w:t>Wetness impregnation deposition (WI)</w:t>
      </w:r>
    </w:p>
    <w:p w14:paraId="4D835CE5" w14:textId="77777777" w:rsidR="00F54AA3" w:rsidRDefault="000D5675" w:rsidP="0048168E">
      <w:pPr>
        <w:spacing w:after="0" w:line="276" w:lineRule="auto"/>
        <w:jc w:val="both"/>
      </w:pPr>
      <w:r w:rsidRPr="000D5675">
        <w:t xml:space="preserve">The support (0.5 g) was added to a </w:t>
      </w:r>
      <w:r>
        <w:t>round bottom flask</w:t>
      </w:r>
      <w:r w:rsidRPr="000D5675">
        <w:t xml:space="preserve"> and stirred while 0.5 mL of a 0.05 M aqueous solution of HAuCl</w:t>
      </w:r>
      <w:r w:rsidRPr="000D5675">
        <w:rPr>
          <w:vertAlign w:val="subscript"/>
        </w:rPr>
        <w:t>4</w:t>
      </w:r>
      <w:r w:rsidRPr="000D5675">
        <w:t>.3H</w:t>
      </w:r>
      <w:r w:rsidRPr="000D5675">
        <w:rPr>
          <w:vertAlign w:val="subscript"/>
        </w:rPr>
        <w:t>2</w:t>
      </w:r>
      <w:r w:rsidRPr="000D5675">
        <w:t xml:space="preserve">O, was added dropwise, equating to 1 wt% of Au on the support. Ethanol (10 mL) was added dropwise and left to stir overnight. The solution was filtered and left to dry in an oven at 70 </w:t>
      </w:r>
      <w:r>
        <w:rPr>
          <w:vertAlign w:val="superscript"/>
        </w:rPr>
        <w:t>o</w:t>
      </w:r>
      <w:r w:rsidRPr="000D5675">
        <w:t xml:space="preserve">C overnight. </w:t>
      </w:r>
      <w:r w:rsidR="00C3740A" w:rsidRPr="0048168E">
        <w:t xml:space="preserve">The </w:t>
      </w:r>
      <w:r w:rsidR="00C3740A">
        <w:t>material</w:t>
      </w:r>
      <w:r w:rsidR="00C3740A" w:rsidRPr="0048168E">
        <w:t xml:space="preserve"> was </w:t>
      </w:r>
      <w:r w:rsidR="00C3740A">
        <w:t xml:space="preserve">then calcined at 300 </w:t>
      </w:r>
      <w:r w:rsidR="00C3740A">
        <w:rPr>
          <w:vertAlign w:val="superscript"/>
        </w:rPr>
        <w:t>o</w:t>
      </w:r>
      <w:r w:rsidR="00C3740A">
        <w:t xml:space="preserve">C in a flow of air at 2.5 </w:t>
      </w:r>
      <w:r w:rsidR="00C3740A">
        <w:rPr>
          <w:vertAlign w:val="superscript"/>
        </w:rPr>
        <w:t>o</w:t>
      </w:r>
      <w:r w:rsidR="00C3740A">
        <w:t>C/min for 16 hours.</w:t>
      </w:r>
    </w:p>
    <w:p w14:paraId="438F8905" w14:textId="77777777" w:rsidR="00C3740A" w:rsidRDefault="00C3740A" w:rsidP="0048168E">
      <w:pPr>
        <w:spacing w:after="0" w:line="276" w:lineRule="auto"/>
        <w:jc w:val="both"/>
      </w:pPr>
    </w:p>
    <w:p w14:paraId="748857C2" w14:textId="77777777" w:rsidR="00F54AA3" w:rsidRDefault="00F54AA3" w:rsidP="0048168E">
      <w:pPr>
        <w:spacing w:after="0" w:line="276" w:lineRule="auto"/>
        <w:jc w:val="both"/>
        <w:rPr>
          <w:u w:val="single"/>
        </w:rPr>
      </w:pPr>
      <w:r>
        <w:rPr>
          <w:u w:val="single"/>
        </w:rPr>
        <w:t>Ammonia evaporation (AE)</w:t>
      </w:r>
    </w:p>
    <w:p w14:paraId="2D9BB09A" w14:textId="77777777" w:rsidR="00F54AA3" w:rsidRDefault="00F54AA3" w:rsidP="0048168E">
      <w:pPr>
        <w:spacing w:after="0" w:line="276" w:lineRule="auto"/>
        <w:jc w:val="both"/>
      </w:pPr>
      <w:r w:rsidRPr="00F54AA3">
        <w:t xml:space="preserve">0.5 mL of a 0.05 M aqueous solution of HAuCl4.3H2O was added dropwise, equating to 1 wt% of Au on the support, to a </w:t>
      </w:r>
      <w:r>
        <w:t>round bottom flask</w:t>
      </w:r>
      <w:r w:rsidRPr="00F54AA3">
        <w:t>. Deionised water (10 mL) was added to the stirred gold solution, followed by 3 drops of 30 % NH</w:t>
      </w:r>
      <w:r w:rsidRPr="00F54AA3">
        <w:rPr>
          <w:vertAlign w:val="subscript"/>
        </w:rPr>
        <w:t>4</w:t>
      </w:r>
      <w:r>
        <w:t>OH solution to reach</w:t>
      </w:r>
      <w:r w:rsidRPr="00F54AA3">
        <w:t xml:space="preserve"> pH 11</w:t>
      </w:r>
      <w:r>
        <w:t>. The</w:t>
      </w:r>
      <w:r w:rsidRPr="00F54AA3">
        <w:t xml:space="preserve"> solution was left to stir for 30 minutes. The support (0.5 g) was added and the temperature was set to 70 </w:t>
      </w:r>
      <w:r>
        <w:rPr>
          <w:vertAlign w:val="superscript"/>
        </w:rPr>
        <w:t>o</w:t>
      </w:r>
      <w:r w:rsidRPr="00F54AA3">
        <w:t xml:space="preserve">C. The pH of the solution was tested every 30 minutes until </w:t>
      </w:r>
      <w:r>
        <w:t>n</w:t>
      </w:r>
      <w:r w:rsidRPr="00F54AA3">
        <w:t>eutralis</w:t>
      </w:r>
      <w:r>
        <w:t>ation, at which point</w:t>
      </w:r>
      <w:r w:rsidRPr="00F54AA3">
        <w:t xml:space="preserve"> </w:t>
      </w:r>
      <w:r>
        <w:t>t</w:t>
      </w:r>
      <w:r w:rsidRPr="00F54AA3">
        <w:t xml:space="preserve">he solution was centrifuged with water three times and left to dry at 70 </w:t>
      </w:r>
      <w:r>
        <w:rPr>
          <w:vertAlign w:val="superscript"/>
        </w:rPr>
        <w:t>o</w:t>
      </w:r>
      <w:r w:rsidRPr="00F54AA3">
        <w:t xml:space="preserve">C overnight. </w:t>
      </w:r>
      <w:r w:rsidR="00C3740A" w:rsidRPr="0048168E">
        <w:t xml:space="preserve">The </w:t>
      </w:r>
      <w:r w:rsidR="00C3740A">
        <w:t>material</w:t>
      </w:r>
      <w:r w:rsidR="00C3740A" w:rsidRPr="0048168E">
        <w:t xml:space="preserve"> was </w:t>
      </w:r>
      <w:r w:rsidR="00C3740A">
        <w:t xml:space="preserve">then calcined at 300 </w:t>
      </w:r>
      <w:r w:rsidR="00C3740A">
        <w:rPr>
          <w:vertAlign w:val="superscript"/>
        </w:rPr>
        <w:t>o</w:t>
      </w:r>
      <w:r w:rsidR="00C3740A">
        <w:t xml:space="preserve">C in a flow of air at 2.5 </w:t>
      </w:r>
      <w:r w:rsidR="00C3740A">
        <w:rPr>
          <w:vertAlign w:val="superscript"/>
        </w:rPr>
        <w:t>o</w:t>
      </w:r>
      <w:r w:rsidR="00C3740A">
        <w:t>C/min for 16 hours.</w:t>
      </w:r>
    </w:p>
    <w:p w14:paraId="48D2D8FD" w14:textId="77777777" w:rsidR="00047469" w:rsidRDefault="00047469" w:rsidP="0048168E">
      <w:pPr>
        <w:spacing w:after="0" w:line="276" w:lineRule="auto"/>
        <w:jc w:val="both"/>
      </w:pPr>
    </w:p>
    <w:p w14:paraId="5BDB41F8" w14:textId="77777777" w:rsidR="00047469" w:rsidRDefault="00047469" w:rsidP="0048168E">
      <w:pPr>
        <w:spacing w:after="0" w:line="276" w:lineRule="auto"/>
        <w:jc w:val="both"/>
        <w:rPr>
          <w:u w:val="single"/>
        </w:rPr>
      </w:pPr>
      <w:r>
        <w:rPr>
          <w:u w:val="single"/>
        </w:rPr>
        <w:t>Powder XRD (XRD)</w:t>
      </w:r>
    </w:p>
    <w:p w14:paraId="057E9BB1" w14:textId="77777777" w:rsidR="00047469" w:rsidRDefault="00985BDB" w:rsidP="00047469">
      <w:pPr>
        <w:spacing w:after="0" w:line="276" w:lineRule="auto"/>
        <w:jc w:val="both"/>
      </w:pPr>
      <w:r>
        <w:t xml:space="preserve">Powder </w:t>
      </w:r>
      <w:r w:rsidR="00047469">
        <w:t>XRD patterns were collected</w:t>
      </w:r>
      <w:r w:rsidR="00047469" w:rsidRPr="00047469">
        <w:t xml:space="preserve"> on a Bruker AXS D2 Phaser with Cu K</w:t>
      </w:r>
      <w:r w:rsidR="00047469" w:rsidRPr="00047469">
        <w:rPr>
          <w:vertAlign w:val="subscript"/>
        </w:rPr>
        <w:t>α</w:t>
      </w:r>
      <w:r w:rsidR="00047469" w:rsidRPr="00047469">
        <w:t xml:space="preserve"> radiation</w:t>
      </w:r>
      <w:r w:rsidR="00047469">
        <w:t>.</w:t>
      </w:r>
    </w:p>
    <w:p w14:paraId="65278B8C" w14:textId="77777777" w:rsidR="00047469" w:rsidRDefault="00047469" w:rsidP="00047469">
      <w:pPr>
        <w:spacing w:after="0" w:line="276" w:lineRule="auto"/>
        <w:jc w:val="both"/>
      </w:pPr>
    </w:p>
    <w:p w14:paraId="3921672E" w14:textId="77777777" w:rsidR="00047469" w:rsidRDefault="00047469" w:rsidP="00047469">
      <w:pPr>
        <w:spacing w:after="0" w:line="276" w:lineRule="auto"/>
        <w:jc w:val="both"/>
        <w:rPr>
          <w:u w:val="single"/>
        </w:rPr>
      </w:pPr>
      <w:r>
        <w:rPr>
          <w:u w:val="single"/>
        </w:rPr>
        <w:t>Nitrogen physisorption</w:t>
      </w:r>
    </w:p>
    <w:p w14:paraId="51802A13" w14:textId="77777777" w:rsidR="00047469" w:rsidRDefault="00047469" w:rsidP="00047469">
      <w:pPr>
        <w:spacing w:after="0" w:line="276" w:lineRule="auto"/>
        <w:jc w:val="both"/>
      </w:pPr>
      <w:r w:rsidRPr="00047469">
        <w:t xml:space="preserve">A Micromeritics TriStar II 3020 surface area analyser was used for </w:t>
      </w:r>
      <w:r>
        <w:t xml:space="preserve">nitrogen physisorption at 77 K. Surfaces areas were calculated using the </w:t>
      </w:r>
      <w:r w:rsidRPr="00047469">
        <w:t xml:space="preserve">BET </w:t>
      </w:r>
      <w:r>
        <w:t>model</w:t>
      </w:r>
      <w:r w:rsidR="00781D2A">
        <w:rPr>
          <w:vertAlign w:val="superscript"/>
        </w:rPr>
        <w:t>[S2]</w:t>
      </w:r>
      <w:r w:rsidRPr="00047469">
        <w:t xml:space="preserve"> and </w:t>
      </w:r>
      <w:r>
        <w:t xml:space="preserve">the </w:t>
      </w:r>
      <w:r w:rsidRPr="00047469">
        <w:t xml:space="preserve">Barrett-Joyner-Halenda (BJH) </w:t>
      </w:r>
      <w:r w:rsidR="00781D2A">
        <w:t>method</w:t>
      </w:r>
      <w:r w:rsidR="00781D2A">
        <w:rPr>
          <w:vertAlign w:val="superscript"/>
        </w:rPr>
        <w:t>[S3]</w:t>
      </w:r>
      <w:r>
        <w:t xml:space="preserve"> was used for pore sizes and volumes.</w:t>
      </w:r>
    </w:p>
    <w:p w14:paraId="3CDAF6FD" w14:textId="77777777" w:rsidR="00CB6DCC" w:rsidRDefault="00CB6DCC" w:rsidP="00047469">
      <w:pPr>
        <w:spacing w:after="0" w:line="276" w:lineRule="auto"/>
        <w:jc w:val="both"/>
      </w:pPr>
    </w:p>
    <w:p w14:paraId="37422AD1" w14:textId="77777777" w:rsidR="00047469" w:rsidRDefault="00047469" w:rsidP="00047469">
      <w:pPr>
        <w:spacing w:after="0" w:line="276" w:lineRule="auto"/>
        <w:jc w:val="both"/>
        <w:rPr>
          <w:u w:val="single"/>
        </w:rPr>
      </w:pPr>
      <w:r>
        <w:rPr>
          <w:u w:val="single"/>
        </w:rPr>
        <w:t>Scanning electron microscopy (SEM)</w:t>
      </w:r>
    </w:p>
    <w:p w14:paraId="007164C7" w14:textId="284F46D0" w:rsidR="00047469" w:rsidRDefault="00047469" w:rsidP="00047469">
      <w:pPr>
        <w:spacing w:after="0" w:line="276" w:lineRule="auto"/>
        <w:jc w:val="both"/>
      </w:pPr>
      <w:r>
        <w:t>SEM images were performed using a JSM-5900 LV SEM, with samples splutter with gold prior to the measurements.</w:t>
      </w:r>
      <w:r w:rsidR="00C20524">
        <w:t xml:space="preserve"> </w:t>
      </w:r>
    </w:p>
    <w:p w14:paraId="1933D966" w14:textId="77777777" w:rsidR="00047469" w:rsidRDefault="00047469" w:rsidP="00047469">
      <w:pPr>
        <w:spacing w:after="0" w:line="276" w:lineRule="auto"/>
        <w:jc w:val="both"/>
      </w:pPr>
    </w:p>
    <w:p w14:paraId="7527CCE2" w14:textId="77777777" w:rsidR="00047469" w:rsidRDefault="00047469" w:rsidP="00047469">
      <w:pPr>
        <w:spacing w:after="0" w:line="276" w:lineRule="auto"/>
        <w:jc w:val="both"/>
        <w:rPr>
          <w:u w:val="single"/>
        </w:rPr>
      </w:pPr>
      <w:r>
        <w:rPr>
          <w:u w:val="single"/>
        </w:rPr>
        <w:t>Induced coupled plasma-mass spectrometry (ICP-MS)</w:t>
      </w:r>
    </w:p>
    <w:p w14:paraId="12EBF39A" w14:textId="77777777" w:rsidR="00047469" w:rsidRPr="00036E96" w:rsidRDefault="00047469" w:rsidP="00047469">
      <w:pPr>
        <w:spacing w:after="0" w:line="276" w:lineRule="auto"/>
        <w:jc w:val="both"/>
      </w:pPr>
      <w:r>
        <w:t>10 mg of samples was first digested in 1 mL of concentrated HNO</w:t>
      </w:r>
      <w:r>
        <w:rPr>
          <w:vertAlign w:val="subscript"/>
        </w:rPr>
        <w:t>3</w:t>
      </w:r>
      <w:r>
        <w:t xml:space="preserve">, 1 mL of concentrated HCl and 0.75 mL of concentrated HF. The samples were heated overnight at 120 </w:t>
      </w:r>
      <w:r>
        <w:rPr>
          <w:vertAlign w:val="superscript"/>
        </w:rPr>
        <w:t>o</w:t>
      </w:r>
      <w:r>
        <w:t xml:space="preserve">C to ensure complete digestion occurred. Samples were then diluted </w:t>
      </w:r>
      <w:r w:rsidR="00036E96">
        <w:t>into 60 mL of</w:t>
      </w:r>
      <w:r>
        <w:t xml:space="preserve"> </w:t>
      </w:r>
      <w:r w:rsidR="00036E96">
        <w:t>deionised water and then diluted 1:100 into 3% HNO</w:t>
      </w:r>
      <w:r w:rsidR="00036E96">
        <w:rPr>
          <w:vertAlign w:val="subscript"/>
        </w:rPr>
        <w:t>3</w:t>
      </w:r>
      <w:r w:rsidR="00036E96">
        <w:t xml:space="preserve"> in deionised water. These samples were then run on a </w:t>
      </w:r>
      <w:r w:rsidR="00036E96" w:rsidRPr="00036E96">
        <w:t>High Resolution ICP-MS Thermo ELEMENT 2XR</w:t>
      </w:r>
      <w:r w:rsidR="00036E96">
        <w:t>, with appropriate standards for quantification.</w:t>
      </w:r>
    </w:p>
    <w:p w14:paraId="00ED0FA0" w14:textId="77777777" w:rsidR="00036E96" w:rsidRPr="00036E96" w:rsidRDefault="00036E96" w:rsidP="00036E96">
      <w:pPr>
        <w:spacing w:after="0" w:line="276" w:lineRule="auto"/>
        <w:jc w:val="both"/>
      </w:pPr>
      <w:r>
        <w:t xml:space="preserve">ICP analysis was performed at the National Oceanography Centre, Southampton with the kind help of Dr. Matthew Cooper. </w:t>
      </w:r>
    </w:p>
    <w:p w14:paraId="217D14D7" w14:textId="77777777" w:rsidR="00047469" w:rsidRDefault="00047469" w:rsidP="0048168E">
      <w:pPr>
        <w:spacing w:after="0" w:line="276" w:lineRule="auto"/>
        <w:jc w:val="both"/>
      </w:pPr>
    </w:p>
    <w:p w14:paraId="569539EC" w14:textId="77777777" w:rsidR="00036E96" w:rsidRDefault="00071C3F" w:rsidP="0048168E">
      <w:pPr>
        <w:spacing w:after="0" w:line="276" w:lineRule="auto"/>
        <w:jc w:val="both"/>
        <w:rPr>
          <w:u w:val="single"/>
        </w:rPr>
      </w:pPr>
      <w:r>
        <w:rPr>
          <w:u w:val="single"/>
        </w:rPr>
        <w:t>UV/Vis spectroscopy</w:t>
      </w:r>
    </w:p>
    <w:p w14:paraId="35DBF275" w14:textId="77777777" w:rsidR="00071C3F" w:rsidRDefault="00071C3F" w:rsidP="0048168E">
      <w:pPr>
        <w:spacing w:after="0" w:line="276" w:lineRule="auto"/>
        <w:jc w:val="both"/>
      </w:pPr>
      <w:r>
        <w:t>UV/Vis</w:t>
      </w:r>
      <w:r w:rsidRPr="00F83301">
        <w:t xml:space="preserve"> spectra were obtained using a Perkin Elmer Lambda 35 spectrome</w:t>
      </w:r>
      <w:r w:rsidR="00286E38">
        <w:t>ter in diffuse reflectance mode, with appropriate background subtraction.</w:t>
      </w:r>
    </w:p>
    <w:p w14:paraId="51F13AE2" w14:textId="77777777" w:rsidR="00930117" w:rsidRDefault="00930117" w:rsidP="0048168E">
      <w:pPr>
        <w:spacing w:after="0" w:line="276" w:lineRule="auto"/>
        <w:jc w:val="both"/>
      </w:pPr>
    </w:p>
    <w:p w14:paraId="2E6CDBC6" w14:textId="77777777" w:rsidR="00930117" w:rsidRDefault="00930117" w:rsidP="0048168E">
      <w:pPr>
        <w:spacing w:after="0" w:line="276" w:lineRule="auto"/>
        <w:jc w:val="both"/>
      </w:pPr>
      <w:r>
        <w:rPr>
          <w:u w:val="single"/>
        </w:rPr>
        <w:t>X-ray photoelectron spectroscopy (XPS)</w:t>
      </w:r>
    </w:p>
    <w:p w14:paraId="21381572" w14:textId="77777777" w:rsidR="00286E38" w:rsidRDefault="00781D2A" w:rsidP="0048168E">
      <w:pPr>
        <w:spacing w:after="0" w:line="276" w:lineRule="auto"/>
        <w:jc w:val="both"/>
      </w:pPr>
      <w:r w:rsidRPr="00781D2A">
        <w:t>XPS analysis was performed using a Thermo Scientific K-Alpha+ / NEXSA instrument   equipped   with   monochromated Al Kα (1486.6 eV) source at the EPSRC XPS User’s Service (HarwellXPS), Research Complex at Harwell. A pass energy of 200 eV and a step size of 1.0 eV was employed for all survey spectra while a pass energy of 40 eV and a step size of 0.1 eV was used for high-resolution spectra of the elements of interest. XPS spectra were calibrated against the corresponding oxygen 1s peaks. The high resolution spectra of the incipient wetness impregnated (IW) and ammonia evaporated (AE) samples were with the fitted with Shirley backgrounds before peak fitting using CasaXPS software.</w:t>
      </w:r>
      <w:r>
        <w:rPr>
          <w:vertAlign w:val="superscript"/>
        </w:rPr>
        <w:t>[S4]</w:t>
      </w:r>
      <w:r w:rsidRPr="00781D2A">
        <w:t xml:space="preserve"> Suitable fits could not be generated using any of the standard backgrounds (Shirley, Tougaard, Linear) for the wetness impregnated (WI) samples.</w:t>
      </w:r>
    </w:p>
    <w:p w14:paraId="7F9B7A12" w14:textId="77777777" w:rsidR="00781D2A" w:rsidRDefault="00781D2A" w:rsidP="0048168E">
      <w:pPr>
        <w:spacing w:after="0" w:line="276" w:lineRule="auto"/>
        <w:jc w:val="both"/>
      </w:pPr>
    </w:p>
    <w:p w14:paraId="0AA70592" w14:textId="77777777" w:rsidR="00286E38" w:rsidRDefault="00930117" w:rsidP="0048168E">
      <w:pPr>
        <w:spacing w:after="0" w:line="276" w:lineRule="auto"/>
        <w:jc w:val="both"/>
        <w:rPr>
          <w:u w:val="single"/>
        </w:rPr>
      </w:pPr>
      <w:r>
        <w:rPr>
          <w:u w:val="single"/>
        </w:rPr>
        <w:t>X-ray absorption spectroscopy (XAS)</w:t>
      </w:r>
    </w:p>
    <w:p w14:paraId="448D5D6C" w14:textId="77777777" w:rsidR="00930117" w:rsidRDefault="00930117" w:rsidP="00930117">
      <w:pPr>
        <w:spacing w:after="0" w:line="276" w:lineRule="auto"/>
        <w:jc w:val="both"/>
      </w:pPr>
      <w:r>
        <w:t xml:space="preserve">Au XAS studies were carried out on the B18 beamline at the Diamond Light Source, Didcot, UK. Measurements were performed using a QEXAFS set-up with a fast-scanning Si (111) or Si (311) double crystal monochromator. </w:t>
      </w:r>
      <w:r w:rsidRPr="00930117">
        <w:t>100 mg of sample was pressed into a pellet 1.3 cm in diameter, split in half and stacked on top of each other to enhance the signal. Data was collected ex situ, in fluorescence mode using a 36 element Ge Monolithic detector, due to the low loading of gold in the sample. The Au L</w:t>
      </w:r>
      <w:r w:rsidRPr="00930117">
        <w:rPr>
          <w:vertAlign w:val="subscript"/>
        </w:rPr>
        <w:t>3</w:t>
      </w:r>
      <w:r w:rsidRPr="00930117">
        <w:t xml:space="preserve"> edge was used, scanning from 11.719 to 12.700 keV, at a rate of 6 eV/second, at an increment of 0.5 eV. Au foil was used as the reference standard for aligning the energy of the samples. This was measured in transmission, simultaneously with the fluorescence sample measurements.</w:t>
      </w:r>
      <w:r>
        <w:t xml:space="preserve"> </w:t>
      </w:r>
      <w:r w:rsidR="00FB5CAD">
        <w:t>O</w:t>
      </w:r>
      <w:r>
        <w:t>n average six scans were acquired to improve the signal-to-noise level of the data. XAS data processing and EXAFS analysis were performed using IFEFFIT with the Horae package (Athena and Artemis).</w:t>
      </w:r>
      <w:r w:rsidR="00781D2A">
        <w:rPr>
          <w:vertAlign w:val="superscript"/>
        </w:rPr>
        <w:t>[S5,S6]</w:t>
      </w:r>
      <w:r>
        <w:t xml:space="preserve"> The amplitude reduction factor, </w:t>
      </w:r>
      <w:r w:rsidR="00342509">
        <w:t>S</w:t>
      </w:r>
      <w:r w:rsidRPr="00930117">
        <w:rPr>
          <w:vertAlign w:val="subscript"/>
        </w:rPr>
        <w:t>0</w:t>
      </w:r>
      <w:r w:rsidRPr="00930117">
        <w:rPr>
          <w:vertAlign w:val="superscript"/>
        </w:rPr>
        <w:t>2</w:t>
      </w:r>
      <w:r>
        <w:t>, was derived from EXAFS data analysis of the Au foil, and used as a fixed input</w:t>
      </w:r>
      <w:r w:rsidR="00FB5CAD">
        <w:t xml:space="preserve"> </w:t>
      </w:r>
      <w:r>
        <w:t>parameter.</w:t>
      </w:r>
    </w:p>
    <w:p w14:paraId="7E45D897" w14:textId="77777777" w:rsidR="00FB5CAD" w:rsidRDefault="00FB5CAD" w:rsidP="00930117">
      <w:pPr>
        <w:spacing w:after="0" w:line="276" w:lineRule="auto"/>
        <w:jc w:val="both"/>
      </w:pPr>
      <w:r>
        <w:t xml:space="preserve">Beamtime was acquired </w:t>
      </w:r>
      <w:r w:rsidR="005534B9">
        <w:t xml:space="preserve">on session SP19850-2, </w:t>
      </w:r>
      <w:r w:rsidR="00BB6BB4">
        <w:t>as part of our membership of</w:t>
      </w:r>
      <w:r w:rsidR="005534B9">
        <w:t xml:space="preserve"> the</w:t>
      </w:r>
      <w:r w:rsidR="00F2389B">
        <w:t xml:space="preserve"> UK Catalysis Hub Beamtime Allocation Group.</w:t>
      </w:r>
    </w:p>
    <w:p w14:paraId="58930952" w14:textId="77777777" w:rsidR="00F2389B" w:rsidRDefault="00F2389B" w:rsidP="00930117">
      <w:pPr>
        <w:spacing w:after="0" w:line="276" w:lineRule="auto"/>
        <w:jc w:val="both"/>
      </w:pPr>
    </w:p>
    <w:p w14:paraId="1BD9815B" w14:textId="77777777" w:rsidR="00C3740A" w:rsidRDefault="00C3740A">
      <w:pPr>
        <w:rPr>
          <w:b/>
        </w:rPr>
      </w:pPr>
      <w:r>
        <w:rPr>
          <w:b/>
        </w:rPr>
        <w:br w:type="page"/>
      </w:r>
    </w:p>
    <w:p w14:paraId="02444F7D" w14:textId="19A525FF" w:rsidR="008F5B3F" w:rsidRDefault="008F5B3F" w:rsidP="00930117">
      <w:pPr>
        <w:spacing w:after="0" w:line="276" w:lineRule="auto"/>
        <w:jc w:val="both"/>
        <w:rPr>
          <w:b/>
        </w:rPr>
      </w:pPr>
      <w:r>
        <w:rPr>
          <w:b/>
        </w:rPr>
        <w:lastRenderedPageBreak/>
        <w:t xml:space="preserve">Comparison of </w:t>
      </w:r>
      <w:r w:rsidR="002C5722">
        <w:rPr>
          <w:b/>
        </w:rPr>
        <w:t xml:space="preserve">bare </w:t>
      </w:r>
      <w:r>
        <w:rPr>
          <w:b/>
        </w:rPr>
        <w:t>M</w:t>
      </w:r>
      <w:r w:rsidR="00E743C3">
        <w:rPr>
          <w:b/>
        </w:rPr>
        <w:t>P</w:t>
      </w:r>
      <w:r>
        <w:rPr>
          <w:b/>
        </w:rPr>
        <w:t>-SAPO-5 and HP-SAPO-5</w:t>
      </w:r>
      <w:r w:rsidR="002C5722">
        <w:rPr>
          <w:b/>
        </w:rPr>
        <w:t xml:space="preserve"> supports</w:t>
      </w:r>
    </w:p>
    <w:p w14:paraId="11AA1035" w14:textId="3D71CC8E" w:rsidR="008F5B3F" w:rsidRDefault="00494DD8" w:rsidP="00494DD8">
      <w:pPr>
        <w:spacing w:after="0" w:line="276" w:lineRule="auto"/>
        <w:jc w:val="center"/>
      </w:pPr>
      <w:r>
        <w:rPr>
          <w:noProof/>
          <w:lang w:eastAsia="en-GB"/>
        </w:rPr>
        <w:drawing>
          <wp:inline distT="0" distB="0" distL="0" distR="0" wp14:anchorId="1E0F3BEE" wp14:editId="60F41197">
            <wp:extent cx="5031105" cy="32770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5311" cy="3286281"/>
                    </a:xfrm>
                    <a:prstGeom prst="rect">
                      <a:avLst/>
                    </a:prstGeom>
                    <a:noFill/>
                  </pic:spPr>
                </pic:pic>
              </a:graphicData>
            </a:graphic>
          </wp:inline>
        </w:drawing>
      </w:r>
    </w:p>
    <w:p w14:paraId="443C71A9" w14:textId="6FAF7928" w:rsidR="008F5B3F" w:rsidRDefault="008F5B3F" w:rsidP="00930117">
      <w:pPr>
        <w:spacing w:after="0" w:line="276" w:lineRule="auto"/>
        <w:jc w:val="both"/>
      </w:pPr>
      <w:r>
        <w:t>Figure S</w:t>
      </w:r>
      <w:r w:rsidR="00B27A94">
        <w:t>1</w:t>
      </w:r>
      <w:r>
        <w:t>: Powder XRD pattern comparing the microporous (M</w:t>
      </w:r>
      <w:r w:rsidR="00E743C3">
        <w:t>P</w:t>
      </w:r>
      <w:r>
        <w:t>-SAPO-5)</w:t>
      </w:r>
      <w:r w:rsidR="00F47315">
        <w:t xml:space="preserve"> and hierarchical (HP-SAPO-5) S</w:t>
      </w:r>
      <w:r>
        <w:t>A</w:t>
      </w:r>
      <w:r w:rsidR="00990D52">
        <w:t>P</w:t>
      </w:r>
      <w:r>
        <w:t xml:space="preserve">O-5 systems. </w:t>
      </w:r>
    </w:p>
    <w:p w14:paraId="5DE137E9" w14:textId="77777777" w:rsidR="008F5B3F" w:rsidRDefault="008F5B3F" w:rsidP="00930117">
      <w:pPr>
        <w:spacing w:after="0" w:line="276" w:lineRule="auto"/>
        <w:jc w:val="both"/>
      </w:pPr>
    </w:p>
    <w:p w14:paraId="242AC57B" w14:textId="77777777" w:rsidR="00C3740A" w:rsidRDefault="00C3740A" w:rsidP="00930117">
      <w:pPr>
        <w:spacing w:after="0" w:line="276" w:lineRule="auto"/>
        <w:jc w:val="both"/>
      </w:pPr>
    </w:p>
    <w:p w14:paraId="17E6BF60" w14:textId="6C1A4135" w:rsidR="008F5B3F" w:rsidRDefault="00C54919" w:rsidP="00C3740A">
      <w:pPr>
        <w:spacing w:after="0" w:line="276" w:lineRule="auto"/>
        <w:jc w:val="center"/>
      </w:pPr>
      <w:r>
        <w:rPr>
          <w:noProof/>
          <w:lang w:eastAsia="en-GB"/>
        </w:rPr>
        <w:drawing>
          <wp:inline distT="0" distB="0" distL="0" distR="0" wp14:anchorId="459BEBFD" wp14:editId="36AEE2F3">
            <wp:extent cx="4796473" cy="3124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2924" cy="3134915"/>
                    </a:xfrm>
                    <a:prstGeom prst="rect">
                      <a:avLst/>
                    </a:prstGeom>
                    <a:noFill/>
                  </pic:spPr>
                </pic:pic>
              </a:graphicData>
            </a:graphic>
          </wp:inline>
        </w:drawing>
      </w:r>
    </w:p>
    <w:p w14:paraId="0A48887D" w14:textId="39C7E559" w:rsidR="00990D52" w:rsidRDefault="00990D52" w:rsidP="00930117">
      <w:pPr>
        <w:spacing w:after="0" w:line="276" w:lineRule="auto"/>
        <w:jc w:val="both"/>
      </w:pPr>
      <w:r>
        <w:t>Figure S</w:t>
      </w:r>
      <w:r w:rsidR="00B27A94">
        <w:t>2</w:t>
      </w:r>
      <w:r>
        <w:t>: Nitrogen physisorption isotherms at 77 K comparing the microporous (M</w:t>
      </w:r>
      <w:r w:rsidR="00E743C3">
        <w:t>P</w:t>
      </w:r>
      <w:r>
        <w:t>-SAPO-5) and hierarchical (HP-SAPO-5) SAPO-5 systems.</w:t>
      </w:r>
    </w:p>
    <w:p w14:paraId="1BA8E93F" w14:textId="77777777" w:rsidR="005F38C2" w:rsidRDefault="005F38C2" w:rsidP="00930117">
      <w:pPr>
        <w:spacing w:after="0" w:line="276" w:lineRule="auto"/>
        <w:jc w:val="both"/>
      </w:pPr>
    </w:p>
    <w:p w14:paraId="3A08D474" w14:textId="77777777" w:rsidR="00C3740A" w:rsidRDefault="00C3740A">
      <w:r>
        <w:br w:type="page"/>
      </w:r>
    </w:p>
    <w:p w14:paraId="7FCB3350" w14:textId="44B65DE0" w:rsidR="005F38C2" w:rsidRDefault="005F38C2" w:rsidP="00930117">
      <w:pPr>
        <w:spacing w:after="0" w:line="276" w:lineRule="auto"/>
        <w:jc w:val="both"/>
      </w:pPr>
      <w:r>
        <w:lastRenderedPageBreak/>
        <w:t>Table S</w:t>
      </w:r>
      <w:r w:rsidR="00B27A94">
        <w:t>2</w:t>
      </w:r>
      <w:r>
        <w:t>: Contrasting the physicochemical properties of the microporous (M</w:t>
      </w:r>
      <w:r w:rsidR="00E743C3">
        <w:t>P</w:t>
      </w:r>
      <w:r>
        <w:t>-SAPO-5) and hierarchical (HP-SAPO-5) SAPO-5 systems.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67"/>
        <w:gridCol w:w="567"/>
        <w:gridCol w:w="567"/>
        <w:gridCol w:w="1311"/>
        <w:gridCol w:w="1595"/>
        <w:gridCol w:w="1594"/>
        <w:gridCol w:w="1595"/>
      </w:tblGrid>
      <w:tr w:rsidR="005F38C2" w14:paraId="4EF9C425" w14:textId="77777777" w:rsidTr="00AE1CF7">
        <w:tc>
          <w:tcPr>
            <w:tcW w:w="1271" w:type="dxa"/>
            <w:vMerge w:val="restart"/>
            <w:tcBorders>
              <w:top w:val="single" w:sz="4" w:space="0" w:color="auto"/>
            </w:tcBorders>
            <w:vAlign w:val="bottom"/>
          </w:tcPr>
          <w:p w14:paraId="317C87B6" w14:textId="77777777" w:rsidR="005F38C2" w:rsidRPr="005F38C2" w:rsidRDefault="005F38C2" w:rsidP="005F38C2">
            <w:pPr>
              <w:spacing w:line="276" w:lineRule="auto"/>
              <w:jc w:val="center"/>
              <w:rPr>
                <w:sz w:val="18"/>
                <w:szCs w:val="18"/>
              </w:rPr>
            </w:pPr>
            <w:r w:rsidRPr="005F38C2">
              <w:rPr>
                <w:sz w:val="18"/>
                <w:szCs w:val="18"/>
              </w:rPr>
              <w:t>System</w:t>
            </w:r>
          </w:p>
        </w:tc>
        <w:tc>
          <w:tcPr>
            <w:tcW w:w="1701" w:type="dxa"/>
            <w:gridSpan w:val="3"/>
            <w:tcBorders>
              <w:top w:val="single" w:sz="4" w:space="0" w:color="auto"/>
            </w:tcBorders>
            <w:vAlign w:val="bottom"/>
          </w:tcPr>
          <w:p w14:paraId="116F3081" w14:textId="77777777" w:rsidR="005F38C2" w:rsidRPr="005F38C2" w:rsidRDefault="005F38C2" w:rsidP="005F38C2">
            <w:pPr>
              <w:spacing w:line="276" w:lineRule="auto"/>
              <w:jc w:val="center"/>
              <w:rPr>
                <w:sz w:val="18"/>
                <w:szCs w:val="18"/>
              </w:rPr>
            </w:pPr>
            <w:r w:rsidRPr="005F38C2">
              <w:rPr>
                <w:sz w:val="18"/>
                <w:szCs w:val="18"/>
              </w:rPr>
              <w:t>Metal loading/wt%</w:t>
            </w:r>
          </w:p>
        </w:tc>
        <w:tc>
          <w:tcPr>
            <w:tcW w:w="6095" w:type="dxa"/>
            <w:gridSpan w:val="4"/>
            <w:tcBorders>
              <w:top w:val="single" w:sz="4" w:space="0" w:color="auto"/>
            </w:tcBorders>
            <w:vAlign w:val="bottom"/>
          </w:tcPr>
          <w:p w14:paraId="71A4811A" w14:textId="77777777" w:rsidR="005F38C2" w:rsidRPr="005F38C2" w:rsidRDefault="005F38C2" w:rsidP="005F38C2">
            <w:pPr>
              <w:spacing w:line="276" w:lineRule="auto"/>
              <w:jc w:val="center"/>
              <w:rPr>
                <w:sz w:val="18"/>
                <w:szCs w:val="18"/>
              </w:rPr>
            </w:pPr>
            <w:r w:rsidRPr="005F38C2">
              <w:rPr>
                <w:sz w:val="18"/>
                <w:szCs w:val="18"/>
              </w:rPr>
              <w:t>Physisorption data</w:t>
            </w:r>
          </w:p>
        </w:tc>
      </w:tr>
      <w:tr w:rsidR="005F38C2" w14:paraId="77C32E70" w14:textId="77777777" w:rsidTr="00AE1CF7">
        <w:tc>
          <w:tcPr>
            <w:tcW w:w="1271" w:type="dxa"/>
            <w:vMerge/>
            <w:tcBorders>
              <w:bottom w:val="single" w:sz="4" w:space="0" w:color="auto"/>
            </w:tcBorders>
            <w:vAlign w:val="bottom"/>
          </w:tcPr>
          <w:p w14:paraId="5EE6A977" w14:textId="77777777" w:rsidR="005F38C2" w:rsidRPr="005F38C2" w:rsidRDefault="005F38C2" w:rsidP="005F38C2">
            <w:pPr>
              <w:spacing w:line="276" w:lineRule="auto"/>
              <w:jc w:val="center"/>
              <w:rPr>
                <w:sz w:val="18"/>
                <w:szCs w:val="18"/>
              </w:rPr>
            </w:pPr>
          </w:p>
        </w:tc>
        <w:tc>
          <w:tcPr>
            <w:tcW w:w="567" w:type="dxa"/>
            <w:tcBorders>
              <w:bottom w:val="single" w:sz="4" w:space="0" w:color="auto"/>
            </w:tcBorders>
            <w:vAlign w:val="bottom"/>
          </w:tcPr>
          <w:p w14:paraId="520014E5" w14:textId="77777777" w:rsidR="005F38C2" w:rsidRPr="005F38C2" w:rsidRDefault="005F38C2" w:rsidP="005F38C2">
            <w:pPr>
              <w:spacing w:line="276" w:lineRule="auto"/>
              <w:jc w:val="center"/>
              <w:rPr>
                <w:sz w:val="18"/>
                <w:szCs w:val="18"/>
              </w:rPr>
            </w:pPr>
            <w:r w:rsidRPr="005F38C2">
              <w:rPr>
                <w:sz w:val="18"/>
                <w:szCs w:val="18"/>
              </w:rPr>
              <w:t>Al</w:t>
            </w:r>
          </w:p>
        </w:tc>
        <w:tc>
          <w:tcPr>
            <w:tcW w:w="567" w:type="dxa"/>
            <w:tcBorders>
              <w:bottom w:val="single" w:sz="4" w:space="0" w:color="auto"/>
            </w:tcBorders>
            <w:vAlign w:val="bottom"/>
          </w:tcPr>
          <w:p w14:paraId="682E66C9" w14:textId="77777777" w:rsidR="005F38C2" w:rsidRPr="005F38C2" w:rsidRDefault="005F38C2" w:rsidP="005F38C2">
            <w:pPr>
              <w:spacing w:line="276" w:lineRule="auto"/>
              <w:jc w:val="center"/>
              <w:rPr>
                <w:sz w:val="18"/>
                <w:szCs w:val="18"/>
              </w:rPr>
            </w:pPr>
            <w:r w:rsidRPr="005F38C2">
              <w:rPr>
                <w:sz w:val="18"/>
                <w:szCs w:val="18"/>
              </w:rPr>
              <w:t>P</w:t>
            </w:r>
          </w:p>
        </w:tc>
        <w:tc>
          <w:tcPr>
            <w:tcW w:w="567" w:type="dxa"/>
            <w:tcBorders>
              <w:bottom w:val="single" w:sz="4" w:space="0" w:color="auto"/>
            </w:tcBorders>
            <w:vAlign w:val="bottom"/>
          </w:tcPr>
          <w:p w14:paraId="572A25CE" w14:textId="77777777" w:rsidR="005F38C2" w:rsidRPr="005F38C2" w:rsidRDefault="005F38C2" w:rsidP="005F38C2">
            <w:pPr>
              <w:spacing w:line="276" w:lineRule="auto"/>
              <w:jc w:val="center"/>
              <w:rPr>
                <w:sz w:val="18"/>
                <w:szCs w:val="18"/>
              </w:rPr>
            </w:pPr>
            <w:r w:rsidRPr="005F38C2">
              <w:rPr>
                <w:sz w:val="18"/>
                <w:szCs w:val="18"/>
              </w:rPr>
              <w:t>Si</w:t>
            </w:r>
          </w:p>
        </w:tc>
        <w:tc>
          <w:tcPr>
            <w:tcW w:w="1311" w:type="dxa"/>
            <w:tcBorders>
              <w:bottom w:val="single" w:sz="4" w:space="0" w:color="auto"/>
            </w:tcBorders>
            <w:vAlign w:val="bottom"/>
          </w:tcPr>
          <w:p w14:paraId="06F92230" w14:textId="77777777" w:rsidR="005F38C2" w:rsidRPr="005F38C2" w:rsidRDefault="005F38C2" w:rsidP="005F38C2">
            <w:pPr>
              <w:spacing w:line="276" w:lineRule="auto"/>
              <w:jc w:val="center"/>
              <w:rPr>
                <w:sz w:val="18"/>
                <w:szCs w:val="18"/>
              </w:rPr>
            </w:pPr>
            <w:r w:rsidRPr="005F38C2">
              <w:rPr>
                <w:sz w:val="18"/>
                <w:szCs w:val="18"/>
              </w:rPr>
              <w:t>Surface area</w:t>
            </w:r>
          </w:p>
          <w:p w14:paraId="1EA13074" w14:textId="77777777" w:rsidR="005F38C2" w:rsidRPr="005F38C2" w:rsidRDefault="005F38C2" w:rsidP="005F38C2">
            <w:pPr>
              <w:spacing w:line="276" w:lineRule="auto"/>
              <w:jc w:val="center"/>
              <w:rPr>
                <w:sz w:val="18"/>
                <w:szCs w:val="18"/>
              </w:rPr>
            </w:pPr>
            <w:r w:rsidRPr="005F38C2">
              <w:rPr>
                <w:sz w:val="18"/>
                <w:szCs w:val="18"/>
              </w:rPr>
              <w:t>/m</w:t>
            </w:r>
            <w:r w:rsidRPr="005F38C2">
              <w:rPr>
                <w:sz w:val="18"/>
                <w:szCs w:val="18"/>
                <w:vertAlign w:val="superscript"/>
              </w:rPr>
              <w:t>2</w:t>
            </w:r>
            <w:r w:rsidRPr="005F38C2">
              <w:rPr>
                <w:sz w:val="18"/>
                <w:szCs w:val="18"/>
              </w:rPr>
              <w:t>.g</w:t>
            </w:r>
            <w:r w:rsidRPr="005F38C2">
              <w:rPr>
                <w:sz w:val="18"/>
                <w:szCs w:val="18"/>
                <w:vertAlign w:val="superscript"/>
              </w:rPr>
              <w:t>-1</w:t>
            </w:r>
          </w:p>
        </w:tc>
        <w:tc>
          <w:tcPr>
            <w:tcW w:w="1595" w:type="dxa"/>
            <w:tcBorders>
              <w:bottom w:val="single" w:sz="4" w:space="0" w:color="auto"/>
            </w:tcBorders>
            <w:vAlign w:val="bottom"/>
          </w:tcPr>
          <w:p w14:paraId="28CCA1A4" w14:textId="77777777" w:rsidR="005F38C2" w:rsidRPr="005F38C2" w:rsidRDefault="005F38C2" w:rsidP="005F38C2">
            <w:pPr>
              <w:spacing w:line="276" w:lineRule="auto"/>
              <w:jc w:val="center"/>
              <w:rPr>
                <w:sz w:val="18"/>
                <w:szCs w:val="18"/>
              </w:rPr>
            </w:pPr>
            <w:r w:rsidRPr="005F38C2">
              <w:rPr>
                <w:sz w:val="18"/>
                <w:szCs w:val="18"/>
              </w:rPr>
              <w:t>Total pore volume</w:t>
            </w:r>
          </w:p>
          <w:p w14:paraId="4D61DFB4" w14:textId="77777777" w:rsidR="005F38C2" w:rsidRPr="005F38C2" w:rsidRDefault="005F38C2" w:rsidP="005F38C2">
            <w:pPr>
              <w:spacing w:line="276" w:lineRule="auto"/>
              <w:jc w:val="center"/>
              <w:rPr>
                <w:sz w:val="18"/>
                <w:szCs w:val="18"/>
              </w:rPr>
            </w:pPr>
            <w:r w:rsidRPr="005F38C2">
              <w:rPr>
                <w:sz w:val="18"/>
                <w:szCs w:val="18"/>
              </w:rPr>
              <w:t>/cm</w:t>
            </w:r>
            <w:r w:rsidRPr="005F38C2">
              <w:rPr>
                <w:sz w:val="18"/>
                <w:szCs w:val="18"/>
                <w:vertAlign w:val="superscript"/>
              </w:rPr>
              <w:t>3</w:t>
            </w:r>
            <w:r w:rsidRPr="005F38C2">
              <w:rPr>
                <w:sz w:val="18"/>
                <w:szCs w:val="18"/>
              </w:rPr>
              <w:t>.g</w:t>
            </w:r>
            <w:r w:rsidRPr="005F38C2">
              <w:rPr>
                <w:sz w:val="18"/>
                <w:szCs w:val="18"/>
                <w:vertAlign w:val="superscript"/>
              </w:rPr>
              <w:t>-1</w:t>
            </w:r>
          </w:p>
        </w:tc>
        <w:tc>
          <w:tcPr>
            <w:tcW w:w="1594" w:type="dxa"/>
            <w:tcBorders>
              <w:bottom w:val="single" w:sz="4" w:space="0" w:color="auto"/>
            </w:tcBorders>
            <w:vAlign w:val="bottom"/>
          </w:tcPr>
          <w:p w14:paraId="3ECFCF09" w14:textId="77777777" w:rsidR="005F38C2" w:rsidRPr="005F38C2" w:rsidRDefault="005F38C2" w:rsidP="005F38C2">
            <w:pPr>
              <w:spacing w:line="276" w:lineRule="auto"/>
              <w:jc w:val="center"/>
              <w:rPr>
                <w:sz w:val="18"/>
                <w:szCs w:val="18"/>
              </w:rPr>
            </w:pPr>
            <w:r w:rsidRPr="005F38C2">
              <w:rPr>
                <w:sz w:val="18"/>
                <w:szCs w:val="18"/>
              </w:rPr>
              <w:t>Micropore volume</w:t>
            </w:r>
          </w:p>
          <w:p w14:paraId="45467385" w14:textId="77777777" w:rsidR="005F38C2" w:rsidRPr="005F38C2" w:rsidRDefault="005F38C2" w:rsidP="005F38C2">
            <w:pPr>
              <w:spacing w:line="276" w:lineRule="auto"/>
              <w:jc w:val="center"/>
              <w:rPr>
                <w:sz w:val="18"/>
                <w:szCs w:val="18"/>
              </w:rPr>
            </w:pPr>
            <w:r w:rsidRPr="005F38C2">
              <w:rPr>
                <w:sz w:val="18"/>
                <w:szCs w:val="18"/>
              </w:rPr>
              <w:t>/cm</w:t>
            </w:r>
            <w:r w:rsidRPr="005F38C2">
              <w:rPr>
                <w:sz w:val="18"/>
                <w:szCs w:val="18"/>
                <w:vertAlign w:val="superscript"/>
              </w:rPr>
              <w:t>3</w:t>
            </w:r>
            <w:r w:rsidRPr="005F38C2">
              <w:rPr>
                <w:sz w:val="18"/>
                <w:szCs w:val="18"/>
              </w:rPr>
              <w:t>.g</w:t>
            </w:r>
            <w:r w:rsidRPr="005F38C2">
              <w:rPr>
                <w:sz w:val="18"/>
                <w:szCs w:val="18"/>
                <w:vertAlign w:val="superscript"/>
              </w:rPr>
              <w:t>-1</w:t>
            </w:r>
          </w:p>
        </w:tc>
        <w:tc>
          <w:tcPr>
            <w:tcW w:w="1595" w:type="dxa"/>
            <w:tcBorders>
              <w:bottom w:val="single" w:sz="4" w:space="0" w:color="auto"/>
            </w:tcBorders>
            <w:vAlign w:val="bottom"/>
          </w:tcPr>
          <w:p w14:paraId="3ACA9AB2" w14:textId="77777777" w:rsidR="005F38C2" w:rsidRPr="005F38C2" w:rsidRDefault="005F38C2" w:rsidP="005F38C2">
            <w:pPr>
              <w:spacing w:line="276" w:lineRule="auto"/>
              <w:jc w:val="center"/>
              <w:rPr>
                <w:sz w:val="18"/>
                <w:szCs w:val="18"/>
              </w:rPr>
            </w:pPr>
            <w:r w:rsidRPr="005F38C2">
              <w:rPr>
                <w:sz w:val="18"/>
                <w:szCs w:val="18"/>
              </w:rPr>
              <w:t>Mesopore volume</w:t>
            </w:r>
          </w:p>
          <w:p w14:paraId="099D6F4A" w14:textId="77777777" w:rsidR="005F38C2" w:rsidRPr="005F38C2" w:rsidRDefault="005F38C2" w:rsidP="005F38C2">
            <w:pPr>
              <w:spacing w:line="276" w:lineRule="auto"/>
              <w:jc w:val="center"/>
              <w:rPr>
                <w:sz w:val="18"/>
                <w:szCs w:val="18"/>
              </w:rPr>
            </w:pPr>
            <w:r w:rsidRPr="005F38C2">
              <w:rPr>
                <w:sz w:val="18"/>
                <w:szCs w:val="18"/>
              </w:rPr>
              <w:t>/cm</w:t>
            </w:r>
            <w:r w:rsidRPr="005F38C2">
              <w:rPr>
                <w:sz w:val="18"/>
                <w:szCs w:val="18"/>
                <w:vertAlign w:val="superscript"/>
              </w:rPr>
              <w:t>3</w:t>
            </w:r>
            <w:r w:rsidRPr="005F38C2">
              <w:rPr>
                <w:sz w:val="18"/>
                <w:szCs w:val="18"/>
              </w:rPr>
              <w:t>.g</w:t>
            </w:r>
            <w:r w:rsidRPr="005F38C2">
              <w:rPr>
                <w:sz w:val="18"/>
                <w:szCs w:val="18"/>
                <w:vertAlign w:val="superscript"/>
              </w:rPr>
              <w:t>-1</w:t>
            </w:r>
          </w:p>
        </w:tc>
      </w:tr>
      <w:tr w:rsidR="005F38C2" w14:paraId="4BA7C0D6" w14:textId="77777777" w:rsidTr="00AE1CF7">
        <w:tc>
          <w:tcPr>
            <w:tcW w:w="1271" w:type="dxa"/>
            <w:tcBorders>
              <w:top w:val="single" w:sz="4" w:space="0" w:color="auto"/>
            </w:tcBorders>
          </w:tcPr>
          <w:p w14:paraId="15D9869C" w14:textId="233C2C59" w:rsidR="005F38C2" w:rsidRPr="005F38C2" w:rsidRDefault="005F38C2" w:rsidP="00930117">
            <w:pPr>
              <w:spacing w:line="276" w:lineRule="auto"/>
              <w:jc w:val="both"/>
              <w:rPr>
                <w:sz w:val="18"/>
                <w:szCs w:val="18"/>
              </w:rPr>
            </w:pPr>
            <w:r w:rsidRPr="005F38C2">
              <w:rPr>
                <w:sz w:val="18"/>
                <w:szCs w:val="18"/>
              </w:rPr>
              <w:t>M</w:t>
            </w:r>
            <w:r w:rsidR="00E743C3">
              <w:rPr>
                <w:sz w:val="18"/>
                <w:szCs w:val="18"/>
              </w:rPr>
              <w:t>P</w:t>
            </w:r>
            <w:r w:rsidRPr="005F38C2">
              <w:rPr>
                <w:sz w:val="18"/>
                <w:szCs w:val="18"/>
              </w:rPr>
              <w:t>-SAPO-5</w:t>
            </w:r>
          </w:p>
        </w:tc>
        <w:tc>
          <w:tcPr>
            <w:tcW w:w="567" w:type="dxa"/>
            <w:tcBorders>
              <w:top w:val="single" w:sz="4" w:space="0" w:color="auto"/>
            </w:tcBorders>
          </w:tcPr>
          <w:p w14:paraId="550DD554" w14:textId="77777777" w:rsidR="005F38C2" w:rsidRPr="005F38C2" w:rsidRDefault="005F38C2" w:rsidP="00930117">
            <w:pPr>
              <w:spacing w:line="276" w:lineRule="auto"/>
              <w:jc w:val="both"/>
              <w:rPr>
                <w:sz w:val="18"/>
                <w:szCs w:val="18"/>
              </w:rPr>
            </w:pPr>
            <w:r>
              <w:rPr>
                <w:sz w:val="18"/>
                <w:szCs w:val="18"/>
              </w:rPr>
              <w:t>24.4</w:t>
            </w:r>
          </w:p>
        </w:tc>
        <w:tc>
          <w:tcPr>
            <w:tcW w:w="567" w:type="dxa"/>
            <w:tcBorders>
              <w:top w:val="single" w:sz="4" w:space="0" w:color="auto"/>
            </w:tcBorders>
          </w:tcPr>
          <w:p w14:paraId="0EBDDC5F" w14:textId="77777777" w:rsidR="005F38C2" w:rsidRPr="005F38C2" w:rsidRDefault="005F38C2" w:rsidP="00930117">
            <w:pPr>
              <w:spacing w:line="276" w:lineRule="auto"/>
              <w:jc w:val="both"/>
              <w:rPr>
                <w:sz w:val="18"/>
                <w:szCs w:val="18"/>
              </w:rPr>
            </w:pPr>
            <w:r>
              <w:rPr>
                <w:sz w:val="18"/>
                <w:szCs w:val="18"/>
              </w:rPr>
              <w:t>3.5</w:t>
            </w:r>
          </w:p>
        </w:tc>
        <w:tc>
          <w:tcPr>
            <w:tcW w:w="567" w:type="dxa"/>
            <w:tcBorders>
              <w:top w:val="single" w:sz="4" w:space="0" w:color="auto"/>
            </w:tcBorders>
          </w:tcPr>
          <w:p w14:paraId="24BBEEB9" w14:textId="77777777" w:rsidR="005F38C2" w:rsidRPr="005F38C2" w:rsidRDefault="005F38C2" w:rsidP="00930117">
            <w:pPr>
              <w:spacing w:line="276" w:lineRule="auto"/>
              <w:jc w:val="both"/>
              <w:rPr>
                <w:sz w:val="18"/>
                <w:szCs w:val="18"/>
              </w:rPr>
            </w:pPr>
            <w:r>
              <w:rPr>
                <w:sz w:val="18"/>
                <w:szCs w:val="18"/>
              </w:rPr>
              <w:t>24.5</w:t>
            </w:r>
          </w:p>
        </w:tc>
        <w:tc>
          <w:tcPr>
            <w:tcW w:w="1311" w:type="dxa"/>
            <w:tcBorders>
              <w:top w:val="single" w:sz="4" w:space="0" w:color="auto"/>
            </w:tcBorders>
          </w:tcPr>
          <w:p w14:paraId="58C1EA40" w14:textId="77777777" w:rsidR="005F38C2" w:rsidRPr="005F38C2" w:rsidRDefault="005F38C2" w:rsidP="005F38C2">
            <w:pPr>
              <w:spacing w:line="276" w:lineRule="auto"/>
              <w:jc w:val="center"/>
              <w:rPr>
                <w:sz w:val="18"/>
                <w:szCs w:val="18"/>
              </w:rPr>
            </w:pPr>
            <w:r>
              <w:rPr>
                <w:sz w:val="18"/>
                <w:szCs w:val="18"/>
              </w:rPr>
              <w:t>254</w:t>
            </w:r>
          </w:p>
        </w:tc>
        <w:tc>
          <w:tcPr>
            <w:tcW w:w="1595" w:type="dxa"/>
            <w:tcBorders>
              <w:top w:val="single" w:sz="4" w:space="0" w:color="auto"/>
            </w:tcBorders>
          </w:tcPr>
          <w:p w14:paraId="22447830" w14:textId="77777777" w:rsidR="005F38C2" w:rsidRPr="005F38C2" w:rsidRDefault="005F38C2" w:rsidP="005F38C2">
            <w:pPr>
              <w:spacing w:line="276" w:lineRule="auto"/>
              <w:jc w:val="center"/>
              <w:rPr>
                <w:sz w:val="18"/>
                <w:szCs w:val="18"/>
              </w:rPr>
            </w:pPr>
            <w:r>
              <w:rPr>
                <w:sz w:val="18"/>
                <w:szCs w:val="18"/>
              </w:rPr>
              <w:t>0.15</w:t>
            </w:r>
          </w:p>
        </w:tc>
        <w:tc>
          <w:tcPr>
            <w:tcW w:w="1594" w:type="dxa"/>
            <w:tcBorders>
              <w:top w:val="single" w:sz="4" w:space="0" w:color="auto"/>
            </w:tcBorders>
          </w:tcPr>
          <w:p w14:paraId="37C3823C" w14:textId="77777777" w:rsidR="005F38C2" w:rsidRPr="005F38C2" w:rsidRDefault="005F38C2" w:rsidP="005F38C2">
            <w:pPr>
              <w:spacing w:line="276" w:lineRule="auto"/>
              <w:jc w:val="center"/>
              <w:rPr>
                <w:sz w:val="18"/>
                <w:szCs w:val="18"/>
              </w:rPr>
            </w:pPr>
            <w:r>
              <w:rPr>
                <w:sz w:val="18"/>
                <w:szCs w:val="18"/>
              </w:rPr>
              <w:t>0.12</w:t>
            </w:r>
          </w:p>
        </w:tc>
        <w:tc>
          <w:tcPr>
            <w:tcW w:w="1595" w:type="dxa"/>
            <w:tcBorders>
              <w:top w:val="single" w:sz="4" w:space="0" w:color="auto"/>
            </w:tcBorders>
          </w:tcPr>
          <w:p w14:paraId="6268057F" w14:textId="77777777" w:rsidR="005F38C2" w:rsidRPr="005F38C2" w:rsidRDefault="005F38C2" w:rsidP="005F38C2">
            <w:pPr>
              <w:spacing w:line="276" w:lineRule="auto"/>
              <w:jc w:val="center"/>
              <w:rPr>
                <w:sz w:val="18"/>
                <w:szCs w:val="18"/>
              </w:rPr>
            </w:pPr>
            <w:r>
              <w:rPr>
                <w:sz w:val="18"/>
                <w:szCs w:val="18"/>
              </w:rPr>
              <w:t>0.03</w:t>
            </w:r>
          </w:p>
        </w:tc>
      </w:tr>
      <w:tr w:rsidR="005F38C2" w14:paraId="38172BC4" w14:textId="77777777" w:rsidTr="00AE1CF7">
        <w:tc>
          <w:tcPr>
            <w:tcW w:w="1271" w:type="dxa"/>
            <w:tcBorders>
              <w:bottom w:val="single" w:sz="4" w:space="0" w:color="auto"/>
            </w:tcBorders>
          </w:tcPr>
          <w:p w14:paraId="7D9DBA90" w14:textId="77777777" w:rsidR="005F38C2" w:rsidRPr="005F38C2" w:rsidRDefault="005F38C2" w:rsidP="00930117">
            <w:pPr>
              <w:spacing w:line="276" w:lineRule="auto"/>
              <w:jc w:val="both"/>
              <w:rPr>
                <w:sz w:val="18"/>
                <w:szCs w:val="18"/>
              </w:rPr>
            </w:pPr>
            <w:r w:rsidRPr="005F38C2">
              <w:rPr>
                <w:sz w:val="18"/>
                <w:szCs w:val="18"/>
              </w:rPr>
              <w:t>HP-SAPO-5</w:t>
            </w:r>
          </w:p>
        </w:tc>
        <w:tc>
          <w:tcPr>
            <w:tcW w:w="567" w:type="dxa"/>
            <w:tcBorders>
              <w:bottom w:val="single" w:sz="4" w:space="0" w:color="auto"/>
            </w:tcBorders>
          </w:tcPr>
          <w:p w14:paraId="270B2AF0" w14:textId="77777777" w:rsidR="005F38C2" w:rsidRPr="005F38C2" w:rsidRDefault="005F38C2" w:rsidP="00930117">
            <w:pPr>
              <w:spacing w:line="276" w:lineRule="auto"/>
              <w:jc w:val="both"/>
              <w:rPr>
                <w:sz w:val="18"/>
                <w:szCs w:val="18"/>
              </w:rPr>
            </w:pPr>
            <w:r>
              <w:rPr>
                <w:sz w:val="18"/>
                <w:szCs w:val="18"/>
              </w:rPr>
              <w:t>18.8</w:t>
            </w:r>
          </w:p>
        </w:tc>
        <w:tc>
          <w:tcPr>
            <w:tcW w:w="567" w:type="dxa"/>
            <w:tcBorders>
              <w:bottom w:val="single" w:sz="4" w:space="0" w:color="auto"/>
            </w:tcBorders>
          </w:tcPr>
          <w:p w14:paraId="727B0024" w14:textId="77777777" w:rsidR="005F38C2" w:rsidRPr="005F38C2" w:rsidRDefault="005F38C2" w:rsidP="00930117">
            <w:pPr>
              <w:spacing w:line="276" w:lineRule="auto"/>
              <w:jc w:val="both"/>
              <w:rPr>
                <w:sz w:val="18"/>
                <w:szCs w:val="18"/>
              </w:rPr>
            </w:pPr>
            <w:r>
              <w:rPr>
                <w:sz w:val="18"/>
                <w:szCs w:val="18"/>
              </w:rPr>
              <w:t>7.3</w:t>
            </w:r>
          </w:p>
        </w:tc>
        <w:tc>
          <w:tcPr>
            <w:tcW w:w="567" w:type="dxa"/>
            <w:tcBorders>
              <w:bottom w:val="single" w:sz="4" w:space="0" w:color="auto"/>
            </w:tcBorders>
          </w:tcPr>
          <w:p w14:paraId="73C165CD" w14:textId="77777777" w:rsidR="005F38C2" w:rsidRPr="005F38C2" w:rsidRDefault="005F38C2" w:rsidP="00930117">
            <w:pPr>
              <w:spacing w:line="276" w:lineRule="auto"/>
              <w:jc w:val="both"/>
              <w:rPr>
                <w:sz w:val="18"/>
                <w:szCs w:val="18"/>
              </w:rPr>
            </w:pPr>
            <w:r>
              <w:rPr>
                <w:sz w:val="18"/>
                <w:szCs w:val="18"/>
              </w:rPr>
              <w:t>20.8</w:t>
            </w:r>
          </w:p>
        </w:tc>
        <w:tc>
          <w:tcPr>
            <w:tcW w:w="1311" w:type="dxa"/>
            <w:tcBorders>
              <w:bottom w:val="single" w:sz="4" w:space="0" w:color="auto"/>
            </w:tcBorders>
          </w:tcPr>
          <w:p w14:paraId="5D6B6C12" w14:textId="77777777" w:rsidR="005F38C2" w:rsidRPr="005F38C2" w:rsidRDefault="005F38C2" w:rsidP="005F38C2">
            <w:pPr>
              <w:spacing w:line="276" w:lineRule="auto"/>
              <w:jc w:val="center"/>
              <w:rPr>
                <w:sz w:val="18"/>
                <w:szCs w:val="18"/>
              </w:rPr>
            </w:pPr>
            <w:r>
              <w:rPr>
                <w:sz w:val="18"/>
                <w:szCs w:val="18"/>
              </w:rPr>
              <w:t>281</w:t>
            </w:r>
          </w:p>
        </w:tc>
        <w:tc>
          <w:tcPr>
            <w:tcW w:w="1595" w:type="dxa"/>
            <w:tcBorders>
              <w:bottom w:val="single" w:sz="4" w:space="0" w:color="auto"/>
            </w:tcBorders>
          </w:tcPr>
          <w:p w14:paraId="7D1DDF74" w14:textId="77777777" w:rsidR="005F38C2" w:rsidRPr="005F38C2" w:rsidRDefault="005F38C2" w:rsidP="005F38C2">
            <w:pPr>
              <w:spacing w:line="276" w:lineRule="auto"/>
              <w:jc w:val="center"/>
              <w:rPr>
                <w:sz w:val="18"/>
                <w:szCs w:val="18"/>
              </w:rPr>
            </w:pPr>
            <w:r>
              <w:rPr>
                <w:sz w:val="18"/>
                <w:szCs w:val="18"/>
              </w:rPr>
              <w:t>0.24</w:t>
            </w:r>
          </w:p>
        </w:tc>
        <w:tc>
          <w:tcPr>
            <w:tcW w:w="1594" w:type="dxa"/>
            <w:tcBorders>
              <w:bottom w:val="single" w:sz="4" w:space="0" w:color="auto"/>
            </w:tcBorders>
          </w:tcPr>
          <w:p w14:paraId="7E125B13" w14:textId="77777777" w:rsidR="005F38C2" w:rsidRPr="005F38C2" w:rsidRDefault="005F38C2" w:rsidP="005F38C2">
            <w:pPr>
              <w:spacing w:line="276" w:lineRule="auto"/>
              <w:jc w:val="center"/>
              <w:rPr>
                <w:sz w:val="18"/>
                <w:szCs w:val="18"/>
              </w:rPr>
            </w:pPr>
            <w:r>
              <w:rPr>
                <w:sz w:val="18"/>
                <w:szCs w:val="18"/>
              </w:rPr>
              <w:t>0.08</w:t>
            </w:r>
          </w:p>
        </w:tc>
        <w:tc>
          <w:tcPr>
            <w:tcW w:w="1595" w:type="dxa"/>
            <w:tcBorders>
              <w:bottom w:val="single" w:sz="4" w:space="0" w:color="auto"/>
            </w:tcBorders>
          </w:tcPr>
          <w:p w14:paraId="213CE483" w14:textId="77777777" w:rsidR="005F38C2" w:rsidRPr="005F38C2" w:rsidRDefault="005F38C2" w:rsidP="005F38C2">
            <w:pPr>
              <w:spacing w:line="276" w:lineRule="auto"/>
              <w:jc w:val="center"/>
              <w:rPr>
                <w:sz w:val="18"/>
                <w:szCs w:val="18"/>
              </w:rPr>
            </w:pPr>
            <w:r>
              <w:rPr>
                <w:sz w:val="18"/>
                <w:szCs w:val="18"/>
              </w:rPr>
              <w:t>0.16</w:t>
            </w:r>
          </w:p>
        </w:tc>
      </w:tr>
    </w:tbl>
    <w:p w14:paraId="6BF6BE31" w14:textId="77777777" w:rsidR="005F38C2" w:rsidRDefault="005F38C2" w:rsidP="00930117">
      <w:pPr>
        <w:spacing w:after="0" w:line="276" w:lineRule="auto"/>
        <w:jc w:val="both"/>
      </w:pPr>
    </w:p>
    <w:p w14:paraId="73EB3C48" w14:textId="77777777" w:rsidR="004529F1" w:rsidRDefault="004529F1" w:rsidP="00930117">
      <w:pPr>
        <w:spacing w:after="0" w:line="276" w:lineRule="auto"/>
        <w:jc w:val="both"/>
      </w:pPr>
    </w:p>
    <w:p w14:paraId="2274984F" w14:textId="77777777" w:rsidR="00686CE4" w:rsidRDefault="00686CE4" w:rsidP="00930117">
      <w:pPr>
        <w:spacing w:after="0" w:line="276" w:lineRule="auto"/>
        <w:jc w:val="both"/>
      </w:pPr>
    </w:p>
    <w:p w14:paraId="6E03D5CE" w14:textId="77777777" w:rsidR="008A5090" w:rsidRDefault="008A5090" w:rsidP="00930117">
      <w:pPr>
        <w:spacing w:after="0" w:line="276" w:lineRule="auto"/>
        <w:jc w:val="both"/>
      </w:pPr>
    </w:p>
    <w:p w14:paraId="242E2823" w14:textId="31C19FC8" w:rsidR="00C3740A" w:rsidRDefault="00C54919" w:rsidP="004529F1">
      <w:pPr>
        <w:spacing w:after="0" w:line="276" w:lineRule="auto"/>
        <w:jc w:val="center"/>
      </w:pPr>
      <w:r>
        <w:rPr>
          <w:noProof/>
          <w:lang w:eastAsia="en-GB"/>
        </w:rPr>
        <w:drawing>
          <wp:inline distT="0" distB="0" distL="0" distR="0" wp14:anchorId="21F631C9" wp14:editId="1207CF35">
            <wp:extent cx="5030448"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6157" cy="3286832"/>
                    </a:xfrm>
                    <a:prstGeom prst="rect">
                      <a:avLst/>
                    </a:prstGeom>
                    <a:noFill/>
                  </pic:spPr>
                </pic:pic>
              </a:graphicData>
            </a:graphic>
          </wp:inline>
        </w:drawing>
      </w:r>
    </w:p>
    <w:p w14:paraId="19C69A90" w14:textId="567E213B" w:rsidR="004529F1" w:rsidRDefault="004529F1" w:rsidP="004529F1">
      <w:pPr>
        <w:spacing w:after="0" w:line="276" w:lineRule="auto"/>
        <w:jc w:val="both"/>
      </w:pPr>
      <w:r>
        <w:t>Figure S</w:t>
      </w:r>
      <w:r w:rsidR="00B27A94">
        <w:t>3</w:t>
      </w:r>
      <w:r>
        <w:t>: BJH pore-size distribution plot comparing the microporous (M</w:t>
      </w:r>
      <w:r w:rsidR="00E743C3">
        <w:t>P</w:t>
      </w:r>
      <w:r>
        <w:t>-SAPO-5) and hierarchical (HP-SAPO-5) SAPO-5 systems.</w:t>
      </w:r>
    </w:p>
    <w:p w14:paraId="7324439A" w14:textId="77777777" w:rsidR="00852874" w:rsidRDefault="00852874" w:rsidP="004529F1">
      <w:pPr>
        <w:spacing w:after="0" w:line="276" w:lineRule="auto"/>
        <w:jc w:val="both"/>
      </w:pPr>
    </w:p>
    <w:p w14:paraId="51425B1D" w14:textId="77777777" w:rsidR="00852874" w:rsidRDefault="00852874" w:rsidP="004529F1">
      <w:pPr>
        <w:spacing w:after="0" w:line="276" w:lineRule="auto"/>
        <w:jc w:val="both"/>
      </w:pPr>
    </w:p>
    <w:p w14:paraId="79AE3E39" w14:textId="77777777" w:rsidR="00852874" w:rsidRDefault="00852874" w:rsidP="00852874">
      <w:pPr>
        <w:spacing w:after="0" w:line="276" w:lineRule="auto"/>
      </w:pPr>
    </w:p>
    <w:p w14:paraId="2C9616FB" w14:textId="77777777" w:rsidR="00637EB4" w:rsidRDefault="00637EB4">
      <w:r>
        <w:br w:type="page"/>
      </w:r>
    </w:p>
    <w:p w14:paraId="14FC61D8" w14:textId="77777777" w:rsidR="00637EB4" w:rsidRDefault="00637EB4" w:rsidP="00852874">
      <w:pPr>
        <w:spacing w:after="0" w:line="276" w:lineRule="auto"/>
      </w:pPr>
      <w:r w:rsidRPr="00637EB4">
        <w:rPr>
          <w:b/>
        </w:rPr>
        <w:lastRenderedPageBreak/>
        <w:t>Physicochemical properties of Au/SAPO-5 systems</w:t>
      </w:r>
    </w:p>
    <w:p w14:paraId="314259F6" w14:textId="77777777" w:rsidR="00111440" w:rsidRDefault="00111440" w:rsidP="00852874">
      <w:pPr>
        <w:spacing w:after="0" w:line="276" w:lineRule="auto"/>
      </w:pPr>
    </w:p>
    <w:p w14:paraId="5981F893" w14:textId="77777777" w:rsidR="00111440" w:rsidRDefault="00111440" w:rsidP="00852874">
      <w:pPr>
        <w:spacing w:after="0" w:line="276" w:lineRule="auto"/>
      </w:pPr>
      <w:r>
        <w:t>Table S</w:t>
      </w:r>
      <w:r w:rsidR="00B27A94">
        <w:t>3</w:t>
      </w:r>
      <w:r>
        <w:t>: Full ICP analysis of Au/SAPO-5 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617"/>
        <w:gridCol w:w="1617"/>
        <w:gridCol w:w="1617"/>
        <w:gridCol w:w="1618"/>
      </w:tblGrid>
      <w:tr w:rsidR="00111440" w14:paraId="2FBDA0F4" w14:textId="77777777" w:rsidTr="003960FA">
        <w:tc>
          <w:tcPr>
            <w:tcW w:w="2547" w:type="dxa"/>
            <w:tcBorders>
              <w:top w:val="single" w:sz="4" w:space="0" w:color="auto"/>
              <w:bottom w:val="single" w:sz="4" w:space="0" w:color="auto"/>
            </w:tcBorders>
          </w:tcPr>
          <w:p w14:paraId="6A2A00CF" w14:textId="77777777" w:rsidR="00111440" w:rsidRPr="00111440" w:rsidRDefault="00111440" w:rsidP="00852874">
            <w:pPr>
              <w:spacing w:line="276" w:lineRule="auto"/>
              <w:rPr>
                <w:sz w:val="18"/>
                <w:szCs w:val="18"/>
              </w:rPr>
            </w:pPr>
            <w:r w:rsidRPr="00111440">
              <w:rPr>
                <w:sz w:val="18"/>
                <w:szCs w:val="18"/>
              </w:rPr>
              <w:t>Sample</w:t>
            </w:r>
          </w:p>
        </w:tc>
        <w:tc>
          <w:tcPr>
            <w:tcW w:w="1617" w:type="dxa"/>
            <w:tcBorders>
              <w:top w:val="single" w:sz="4" w:space="0" w:color="auto"/>
              <w:bottom w:val="single" w:sz="4" w:space="0" w:color="auto"/>
            </w:tcBorders>
          </w:tcPr>
          <w:p w14:paraId="686DE422" w14:textId="77777777" w:rsidR="00111440" w:rsidRPr="00111440" w:rsidRDefault="00111440" w:rsidP="00852874">
            <w:pPr>
              <w:spacing w:line="276" w:lineRule="auto"/>
              <w:rPr>
                <w:sz w:val="18"/>
                <w:szCs w:val="18"/>
              </w:rPr>
            </w:pPr>
            <w:r w:rsidRPr="00111440">
              <w:rPr>
                <w:sz w:val="18"/>
                <w:szCs w:val="18"/>
              </w:rPr>
              <w:t>Al/wt%</w:t>
            </w:r>
          </w:p>
        </w:tc>
        <w:tc>
          <w:tcPr>
            <w:tcW w:w="1617" w:type="dxa"/>
            <w:tcBorders>
              <w:top w:val="single" w:sz="4" w:space="0" w:color="auto"/>
              <w:bottom w:val="single" w:sz="4" w:space="0" w:color="auto"/>
            </w:tcBorders>
          </w:tcPr>
          <w:p w14:paraId="5AD5CB82" w14:textId="77777777" w:rsidR="00111440" w:rsidRPr="00111440" w:rsidRDefault="00111440" w:rsidP="00852874">
            <w:pPr>
              <w:spacing w:line="276" w:lineRule="auto"/>
              <w:rPr>
                <w:sz w:val="18"/>
                <w:szCs w:val="18"/>
              </w:rPr>
            </w:pPr>
            <w:r w:rsidRPr="00111440">
              <w:rPr>
                <w:sz w:val="18"/>
                <w:szCs w:val="18"/>
              </w:rPr>
              <w:t>P/wt%</w:t>
            </w:r>
          </w:p>
        </w:tc>
        <w:tc>
          <w:tcPr>
            <w:tcW w:w="1617" w:type="dxa"/>
            <w:tcBorders>
              <w:top w:val="single" w:sz="4" w:space="0" w:color="auto"/>
              <w:bottom w:val="single" w:sz="4" w:space="0" w:color="auto"/>
            </w:tcBorders>
          </w:tcPr>
          <w:p w14:paraId="56ED2E4A" w14:textId="77777777" w:rsidR="00111440" w:rsidRPr="00111440" w:rsidRDefault="00111440" w:rsidP="00852874">
            <w:pPr>
              <w:spacing w:line="276" w:lineRule="auto"/>
              <w:rPr>
                <w:sz w:val="18"/>
                <w:szCs w:val="18"/>
              </w:rPr>
            </w:pPr>
            <w:r w:rsidRPr="00111440">
              <w:rPr>
                <w:sz w:val="18"/>
                <w:szCs w:val="18"/>
              </w:rPr>
              <w:t>Si/wt%</w:t>
            </w:r>
          </w:p>
        </w:tc>
        <w:tc>
          <w:tcPr>
            <w:tcW w:w="1618" w:type="dxa"/>
            <w:tcBorders>
              <w:top w:val="single" w:sz="4" w:space="0" w:color="auto"/>
              <w:bottom w:val="single" w:sz="4" w:space="0" w:color="auto"/>
            </w:tcBorders>
          </w:tcPr>
          <w:p w14:paraId="6415B495" w14:textId="77777777" w:rsidR="00111440" w:rsidRPr="00111440" w:rsidRDefault="00111440" w:rsidP="00852874">
            <w:pPr>
              <w:spacing w:line="276" w:lineRule="auto"/>
              <w:rPr>
                <w:sz w:val="18"/>
                <w:szCs w:val="18"/>
              </w:rPr>
            </w:pPr>
            <w:r w:rsidRPr="00111440">
              <w:rPr>
                <w:sz w:val="18"/>
                <w:szCs w:val="18"/>
              </w:rPr>
              <w:t>Au/wt%</w:t>
            </w:r>
          </w:p>
        </w:tc>
      </w:tr>
      <w:tr w:rsidR="00111440" w14:paraId="79FDE85A" w14:textId="77777777" w:rsidTr="003960FA">
        <w:tc>
          <w:tcPr>
            <w:tcW w:w="2547" w:type="dxa"/>
            <w:tcBorders>
              <w:top w:val="single" w:sz="4" w:space="0" w:color="auto"/>
            </w:tcBorders>
          </w:tcPr>
          <w:p w14:paraId="18D48EE7" w14:textId="3FCDB88A" w:rsidR="00111440" w:rsidRPr="00111440" w:rsidRDefault="00111440" w:rsidP="00E743C3">
            <w:pPr>
              <w:spacing w:line="276" w:lineRule="auto"/>
              <w:rPr>
                <w:sz w:val="18"/>
                <w:szCs w:val="18"/>
              </w:rPr>
            </w:pPr>
            <w:r w:rsidRPr="00111440">
              <w:rPr>
                <w:sz w:val="18"/>
                <w:szCs w:val="18"/>
              </w:rPr>
              <w:t>M</w:t>
            </w:r>
            <w:r w:rsidR="00E743C3">
              <w:rPr>
                <w:sz w:val="18"/>
                <w:szCs w:val="18"/>
              </w:rPr>
              <w:t>P</w:t>
            </w:r>
            <w:r w:rsidRPr="00111440">
              <w:rPr>
                <w:sz w:val="18"/>
                <w:szCs w:val="18"/>
              </w:rPr>
              <w:t>-SAPO-5</w:t>
            </w:r>
          </w:p>
        </w:tc>
        <w:tc>
          <w:tcPr>
            <w:tcW w:w="1617" w:type="dxa"/>
            <w:tcBorders>
              <w:top w:val="single" w:sz="4" w:space="0" w:color="auto"/>
            </w:tcBorders>
          </w:tcPr>
          <w:p w14:paraId="2D7AFABA" w14:textId="77777777" w:rsidR="00111440" w:rsidRPr="00111440" w:rsidRDefault="00111440" w:rsidP="00111440">
            <w:pPr>
              <w:spacing w:line="276" w:lineRule="auto"/>
              <w:jc w:val="both"/>
              <w:rPr>
                <w:sz w:val="18"/>
                <w:szCs w:val="18"/>
              </w:rPr>
            </w:pPr>
            <w:r w:rsidRPr="00111440">
              <w:rPr>
                <w:sz w:val="18"/>
                <w:szCs w:val="18"/>
              </w:rPr>
              <w:t>24.4</w:t>
            </w:r>
          </w:p>
        </w:tc>
        <w:tc>
          <w:tcPr>
            <w:tcW w:w="1617" w:type="dxa"/>
            <w:tcBorders>
              <w:top w:val="single" w:sz="4" w:space="0" w:color="auto"/>
            </w:tcBorders>
          </w:tcPr>
          <w:p w14:paraId="61F17DFF" w14:textId="77777777" w:rsidR="00111440" w:rsidRPr="00111440" w:rsidRDefault="00111440" w:rsidP="00111440">
            <w:pPr>
              <w:spacing w:line="276" w:lineRule="auto"/>
              <w:jc w:val="both"/>
              <w:rPr>
                <w:sz w:val="18"/>
                <w:szCs w:val="18"/>
              </w:rPr>
            </w:pPr>
            <w:r w:rsidRPr="00111440">
              <w:rPr>
                <w:sz w:val="18"/>
                <w:szCs w:val="18"/>
              </w:rPr>
              <w:t>24.5</w:t>
            </w:r>
          </w:p>
        </w:tc>
        <w:tc>
          <w:tcPr>
            <w:tcW w:w="1617" w:type="dxa"/>
            <w:tcBorders>
              <w:top w:val="single" w:sz="4" w:space="0" w:color="auto"/>
            </w:tcBorders>
          </w:tcPr>
          <w:p w14:paraId="087B83F8" w14:textId="77777777" w:rsidR="00111440" w:rsidRPr="00111440" w:rsidRDefault="00111440" w:rsidP="00111440">
            <w:pPr>
              <w:spacing w:line="276" w:lineRule="auto"/>
              <w:jc w:val="both"/>
              <w:rPr>
                <w:sz w:val="18"/>
                <w:szCs w:val="18"/>
              </w:rPr>
            </w:pPr>
            <w:r>
              <w:rPr>
                <w:sz w:val="18"/>
                <w:szCs w:val="18"/>
              </w:rPr>
              <w:t>3.5</w:t>
            </w:r>
          </w:p>
        </w:tc>
        <w:tc>
          <w:tcPr>
            <w:tcW w:w="1618" w:type="dxa"/>
            <w:tcBorders>
              <w:top w:val="single" w:sz="4" w:space="0" w:color="auto"/>
            </w:tcBorders>
          </w:tcPr>
          <w:p w14:paraId="05827CE4" w14:textId="77777777" w:rsidR="00111440" w:rsidRPr="00111440" w:rsidRDefault="00111440" w:rsidP="00111440">
            <w:pPr>
              <w:spacing w:line="276" w:lineRule="auto"/>
              <w:rPr>
                <w:sz w:val="18"/>
                <w:szCs w:val="18"/>
              </w:rPr>
            </w:pPr>
            <w:r w:rsidRPr="00111440">
              <w:rPr>
                <w:sz w:val="18"/>
                <w:szCs w:val="18"/>
              </w:rPr>
              <w:t>0.0</w:t>
            </w:r>
            <w:r>
              <w:rPr>
                <w:sz w:val="18"/>
                <w:szCs w:val="18"/>
              </w:rPr>
              <w:t>0</w:t>
            </w:r>
          </w:p>
        </w:tc>
      </w:tr>
      <w:tr w:rsidR="00111440" w14:paraId="4668C5D9" w14:textId="77777777" w:rsidTr="003960FA">
        <w:tc>
          <w:tcPr>
            <w:tcW w:w="2547" w:type="dxa"/>
          </w:tcPr>
          <w:p w14:paraId="1CC7C75F" w14:textId="522D5362" w:rsidR="00111440" w:rsidRPr="00111440" w:rsidRDefault="00111440" w:rsidP="00E743C3">
            <w:pPr>
              <w:spacing w:line="276" w:lineRule="auto"/>
              <w:rPr>
                <w:sz w:val="18"/>
                <w:szCs w:val="18"/>
              </w:rPr>
            </w:pPr>
            <w:r w:rsidRPr="00111440">
              <w:rPr>
                <w:sz w:val="18"/>
                <w:szCs w:val="18"/>
              </w:rPr>
              <w:t>Au/</w:t>
            </w:r>
            <w:r w:rsidR="00E743C3">
              <w:rPr>
                <w:sz w:val="18"/>
                <w:szCs w:val="18"/>
              </w:rPr>
              <w:t>MP</w:t>
            </w:r>
            <w:r w:rsidRPr="00111440">
              <w:rPr>
                <w:sz w:val="18"/>
                <w:szCs w:val="18"/>
              </w:rPr>
              <w:t>-SAPO-5 AE</w:t>
            </w:r>
          </w:p>
        </w:tc>
        <w:tc>
          <w:tcPr>
            <w:tcW w:w="1617" w:type="dxa"/>
          </w:tcPr>
          <w:p w14:paraId="373858F6" w14:textId="77777777" w:rsidR="00111440" w:rsidRPr="00111440" w:rsidRDefault="00111440" w:rsidP="00111440">
            <w:pPr>
              <w:spacing w:line="276" w:lineRule="auto"/>
              <w:jc w:val="both"/>
              <w:rPr>
                <w:sz w:val="18"/>
                <w:szCs w:val="18"/>
              </w:rPr>
            </w:pPr>
            <w:r>
              <w:rPr>
                <w:sz w:val="18"/>
                <w:szCs w:val="18"/>
              </w:rPr>
              <w:t>21.0</w:t>
            </w:r>
          </w:p>
        </w:tc>
        <w:tc>
          <w:tcPr>
            <w:tcW w:w="1617" w:type="dxa"/>
          </w:tcPr>
          <w:p w14:paraId="07B999DB" w14:textId="77777777" w:rsidR="00111440" w:rsidRPr="00111440" w:rsidRDefault="00111440" w:rsidP="00111440">
            <w:pPr>
              <w:spacing w:line="276" w:lineRule="auto"/>
              <w:jc w:val="both"/>
              <w:rPr>
                <w:sz w:val="18"/>
                <w:szCs w:val="18"/>
              </w:rPr>
            </w:pPr>
            <w:r>
              <w:rPr>
                <w:sz w:val="18"/>
                <w:szCs w:val="18"/>
              </w:rPr>
              <w:t>21.7</w:t>
            </w:r>
          </w:p>
        </w:tc>
        <w:tc>
          <w:tcPr>
            <w:tcW w:w="1617" w:type="dxa"/>
          </w:tcPr>
          <w:p w14:paraId="76501AC8" w14:textId="77777777" w:rsidR="00111440" w:rsidRPr="00111440" w:rsidRDefault="00111440" w:rsidP="00111440">
            <w:pPr>
              <w:spacing w:line="276" w:lineRule="auto"/>
              <w:jc w:val="both"/>
              <w:rPr>
                <w:sz w:val="18"/>
                <w:szCs w:val="18"/>
              </w:rPr>
            </w:pPr>
            <w:r>
              <w:rPr>
                <w:sz w:val="18"/>
                <w:szCs w:val="18"/>
              </w:rPr>
              <w:t>2.9</w:t>
            </w:r>
          </w:p>
        </w:tc>
        <w:tc>
          <w:tcPr>
            <w:tcW w:w="1618" w:type="dxa"/>
          </w:tcPr>
          <w:p w14:paraId="7A205BA5" w14:textId="77777777" w:rsidR="00111440" w:rsidRPr="00111440" w:rsidRDefault="00111440" w:rsidP="00111440">
            <w:pPr>
              <w:spacing w:line="276" w:lineRule="auto"/>
              <w:rPr>
                <w:sz w:val="18"/>
                <w:szCs w:val="18"/>
              </w:rPr>
            </w:pPr>
            <w:r>
              <w:rPr>
                <w:sz w:val="18"/>
                <w:szCs w:val="18"/>
              </w:rPr>
              <w:t>0.49</w:t>
            </w:r>
          </w:p>
        </w:tc>
      </w:tr>
      <w:tr w:rsidR="00111440" w14:paraId="4C8AF8F8" w14:textId="77777777" w:rsidTr="003960FA">
        <w:tc>
          <w:tcPr>
            <w:tcW w:w="2547" w:type="dxa"/>
          </w:tcPr>
          <w:p w14:paraId="3C7AE7E1" w14:textId="2FE4BADB" w:rsidR="00111440" w:rsidRPr="00111440" w:rsidRDefault="00111440" w:rsidP="00E743C3">
            <w:pPr>
              <w:spacing w:line="276" w:lineRule="auto"/>
              <w:rPr>
                <w:sz w:val="18"/>
                <w:szCs w:val="18"/>
              </w:rPr>
            </w:pPr>
            <w:r w:rsidRPr="00111440">
              <w:rPr>
                <w:sz w:val="18"/>
                <w:szCs w:val="18"/>
              </w:rPr>
              <w:t>Au/</w:t>
            </w:r>
            <w:r w:rsidR="00E743C3">
              <w:rPr>
                <w:sz w:val="18"/>
                <w:szCs w:val="18"/>
              </w:rPr>
              <w:t>MP</w:t>
            </w:r>
            <w:r w:rsidRPr="00111440">
              <w:rPr>
                <w:sz w:val="18"/>
                <w:szCs w:val="18"/>
              </w:rPr>
              <w:t>-SAPO-5 WI</w:t>
            </w:r>
          </w:p>
        </w:tc>
        <w:tc>
          <w:tcPr>
            <w:tcW w:w="1617" w:type="dxa"/>
          </w:tcPr>
          <w:p w14:paraId="521E789B" w14:textId="77777777" w:rsidR="00111440" w:rsidRPr="00111440" w:rsidRDefault="00111440" w:rsidP="00111440">
            <w:pPr>
              <w:spacing w:line="276" w:lineRule="auto"/>
              <w:rPr>
                <w:sz w:val="18"/>
                <w:szCs w:val="18"/>
              </w:rPr>
            </w:pPr>
            <w:r>
              <w:rPr>
                <w:sz w:val="18"/>
                <w:szCs w:val="18"/>
              </w:rPr>
              <w:t>24.4</w:t>
            </w:r>
          </w:p>
        </w:tc>
        <w:tc>
          <w:tcPr>
            <w:tcW w:w="1617" w:type="dxa"/>
          </w:tcPr>
          <w:p w14:paraId="7605B24A" w14:textId="77777777" w:rsidR="00111440" w:rsidRPr="00111440" w:rsidRDefault="00111440" w:rsidP="00111440">
            <w:pPr>
              <w:spacing w:line="276" w:lineRule="auto"/>
              <w:rPr>
                <w:sz w:val="18"/>
                <w:szCs w:val="18"/>
              </w:rPr>
            </w:pPr>
            <w:r>
              <w:rPr>
                <w:sz w:val="18"/>
                <w:szCs w:val="18"/>
              </w:rPr>
              <w:t>24.4</w:t>
            </w:r>
          </w:p>
        </w:tc>
        <w:tc>
          <w:tcPr>
            <w:tcW w:w="1617" w:type="dxa"/>
          </w:tcPr>
          <w:p w14:paraId="5395B4DF" w14:textId="77777777" w:rsidR="00111440" w:rsidRPr="00111440" w:rsidRDefault="00111440" w:rsidP="00111440">
            <w:pPr>
              <w:spacing w:line="276" w:lineRule="auto"/>
              <w:rPr>
                <w:sz w:val="18"/>
                <w:szCs w:val="18"/>
              </w:rPr>
            </w:pPr>
            <w:r>
              <w:rPr>
                <w:sz w:val="18"/>
                <w:szCs w:val="18"/>
              </w:rPr>
              <w:t>3.4</w:t>
            </w:r>
          </w:p>
        </w:tc>
        <w:tc>
          <w:tcPr>
            <w:tcW w:w="1618" w:type="dxa"/>
          </w:tcPr>
          <w:p w14:paraId="3148AFBF" w14:textId="77777777" w:rsidR="00111440" w:rsidRPr="00111440" w:rsidRDefault="00111440" w:rsidP="00111440">
            <w:pPr>
              <w:spacing w:line="276" w:lineRule="auto"/>
              <w:rPr>
                <w:sz w:val="18"/>
                <w:szCs w:val="18"/>
              </w:rPr>
            </w:pPr>
            <w:r>
              <w:rPr>
                <w:sz w:val="18"/>
                <w:szCs w:val="18"/>
              </w:rPr>
              <w:t>0.10</w:t>
            </w:r>
          </w:p>
        </w:tc>
      </w:tr>
      <w:tr w:rsidR="00111440" w14:paraId="21A93208" w14:textId="77777777" w:rsidTr="003960FA">
        <w:tc>
          <w:tcPr>
            <w:tcW w:w="2547" w:type="dxa"/>
          </w:tcPr>
          <w:p w14:paraId="0A7E1FFC" w14:textId="74E13EBE" w:rsidR="00111440" w:rsidRPr="00111440" w:rsidRDefault="00111440" w:rsidP="00E743C3">
            <w:pPr>
              <w:spacing w:line="276" w:lineRule="auto"/>
              <w:rPr>
                <w:sz w:val="18"/>
                <w:szCs w:val="18"/>
              </w:rPr>
            </w:pPr>
            <w:r w:rsidRPr="00111440">
              <w:rPr>
                <w:sz w:val="18"/>
                <w:szCs w:val="18"/>
              </w:rPr>
              <w:t>Au/</w:t>
            </w:r>
            <w:r w:rsidR="00E743C3">
              <w:rPr>
                <w:sz w:val="18"/>
                <w:szCs w:val="18"/>
              </w:rPr>
              <w:t>MP</w:t>
            </w:r>
            <w:r w:rsidRPr="00111440">
              <w:rPr>
                <w:sz w:val="18"/>
                <w:szCs w:val="18"/>
              </w:rPr>
              <w:t>-SAPO-5</w:t>
            </w:r>
            <w:r w:rsidR="00FF4387">
              <w:rPr>
                <w:sz w:val="18"/>
                <w:szCs w:val="18"/>
              </w:rPr>
              <w:t xml:space="preserve"> IW</w:t>
            </w:r>
          </w:p>
        </w:tc>
        <w:tc>
          <w:tcPr>
            <w:tcW w:w="1617" w:type="dxa"/>
          </w:tcPr>
          <w:p w14:paraId="239DAA84" w14:textId="77777777" w:rsidR="00111440" w:rsidRPr="00111440" w:rsidRDefault="00111440" w:rsidP="00111440">
            <w:pPr>
              <w:spacing w:line="276" w:lineRule="auto"/>
              <w:rPr>
                <w:sz w:val="18"/>
                <w:szCs w:val="18"/>
              </w:rPr>
            </w:pPr>
            <w:r>
              <w:rPr>
                <w:sz w:val="18"/>
                <w:szCs w:val="18"/>
              </w:rPr>
              <w:t>21.8</w:t>
            </w:r>
          </w:p>
        </w:tc>
        <w:tc>
          <w:tcPr>
            <w:tcW w:w="1617" w:type="dxa"/>
          </w:tcPr>
          <w:p w14:paraId="72A3449F" w14:textId="77777777" w:rsidR="00111440" w:rsidRPr="00111440" w:rsidRDefault="00111440" w:rsidP="00111440">
            <w:pPr>
              <w:spacing w:line="276" w:lineRule="auto"/>
              <w:rPr>
                <w:sz w:val="18"/>
                <w:szCs w:val="18"/>
              </w:rPr>
            </w:pPr>
            <w:r>
              <w:rPr>
                <w:sz w:val="18"/>
                <w:szCs w:val="18"/>
              </w:rPr>
              <w:t>22.7</w:t>
            </w:r>
          </w:p>
        </w:tc>
        <w:tc>
          <w:tcPr>
            <w:tcW w:w="1617" w:type="dxa"/>
          </w:tcPr>
          <w:p w14:paraId="7C8C6A37" w14:textId="77777777" w:rsidR="00111440" w:rsidRPr="00111440" w:rsidRDefault="00111440" w:rsidP="00111440">
            <w:pPr>
              <w:spacing w:line="276" w:lineRule="auto"/>
              <w:rPr>
                <w:sz w:val="18"/>
                <w:szCs w:val="18"/>
              </w:rPr>
            </w:pPr>
            <w:r>
              <w:rPr>
                <w:sz w:val="18"/>
                <w:szCs w:val="18"/>
              </w:rPr>
              <w:t>3.1</w:t>
            </w:r>
          </w:p>
        </w:tc>
        <w:tc>
          <w:tcPr>
            <w:tcW w:w="1618" w:type="dxa"/>
          </w:tcPr>
          <w:p w14:paraId="31D3B3E5" w14:textId="77777777" w:rsidR="00111440" w:rsidRPr="00111440" w:rsidRDefault="00111440" w:rsidP="00111440">
            <w:pPr>
              <w:spacing w:line="276" w:lineRule="auto"/>
              <w:rPr>
                <w:sz w:val="18"/>
                <w:szCs w:val="18"/>
              </w:rPr>
            </w:pPr>
            <w:r>
              <w:rPr>
                <w:sz w:val="18"/>
                <w:szCs w:val="18"/>
              </w:rPr>
              <w:t>0.66</w:t>
            </w:r>
          </w:p>
        </w:tc>
      </w:tr>
      <w:tr w:rsidR="00111440" w14:paraId="4F73BB3B" w14:textId="77777777" w:rsidTr="003960FA">
        <w:trPr>
          <w:trHeight w:hRule="exact" w:val="113"/>
        </w:trPr>
        <w:tc>
          <w:tcPr>
            <w:tcW w:w="2547" w:type="dxa"/>
          </w:tcPr>
          <w:p w14:paraId="72F12E93" w14:textId="77777777" w:rsidR="00111440" w:rsidRPr="00111440" w:rsidRDefault="00111440" w:rsidP="00111440">
            <w:pPr>
              <w:spacing w:line="276" w:lineRule="auto"/>
              <w:rPr>
                <w:sz w:val="18"/>
                <w:szCs w:val="18"/>
              </w:rPr>
            </w:pPr>
          </w:p>
        </w:tc>
        <w:tc>
          <w:tcPr>
            <w:tcW w:w="1617" w:type="dxa"/>
          </w:tcPr>
          <w:p w14:paraId="2994BD28" w14:textId="77777777" w:rsidR="00111440" w:rsidRPr="00111440" w:rsidRDefault="00111440" w:rsidP="00111440">
            <w:pPr>
              <w:spacing w:line="276" w:lineRule="auto"/>
              <w:rPr>
                <w:sz w:val="18"/>
                <w:szCs w:val="18"/>
              </w:rPr>
            </w:pPr>
          </w:p>
        </w:tc>
        <w:tc>
          <w:tcPr>
            <w:tcW w:w="1617" w:type="dxa"/>
          </w:tcPr>
          <w:p w14:paraId="4A2975D5" w14:textId="77777777" w:rsidR="00111440" w:rsidRPr="00111440" w:rsidRDefault="00111440" w:rsidP="00111440">
            <w:pPr>
              <w:spacing w:line="276" w:lineRule="auto"/>
              <w:rPr>
                <w:sz w:val="18"/>
                <w:szCs w:val="18"/>
              </w:rPr>
            </w:pPr>
          </w:p>
        </w:tc>
        <w:tc>
          <w:tcPr>
            <w:tcW w:w="1617" w:type="dxa"/>
          </w:tcPr>
          <w:p w14:paraId="339A3F1A" w14:textId="77777777" w:rsidR="00111440" w:rsidRPr="00111440" w:rsidRDefault="00111440" w:rsidP="00111440">
            <w:pPr>
              <w:spacing w:line="276" w:lineRule="auto"/>
              <w:rPr>
                <w:sz w:val="18"/>
                <w:szCs w:val="18"/>
              </w:rPr>
            </w:pPr>
          </w:p>
        </w:tc>
        <w:tc>
          <w:tcPr>
            <w:tcW w:w="1618" w:type="dxa"/>
          </w:tcPr>
          <w:p w14:paraId="3F73904D" w14:textId="77777777" w:rsidR="00111440" w:rsidRPr="00111440" w:rsidRDefault="00111440" w:rsidP="00111440">
            <w:pPr>
              <w:spacing w:line="276" w:lineRule="auto"/>
              <w:rPr>
                <w:sz w:val="18"/>
                <w:szCs w:val="18"/>
              </w:rPr>
            </w:pPr>
          </w:p>
        </w:tc>
      </w:tr>
      <w:tr w:rsidR="00111440" w14:paraId="36080C09" w14:textId="77777777" w:rsidTr="003960FA">
        <w:tc>
          <w:tcPr>
            <w:tcW w:w="2547" w:type="dxa"/>
          </w:tcPr>
          <w:p w14:paraId="25E2976F" w14:textId="77777777" w:rsidR="00111440" w:rsidRPr="00111440" w:rsidRDefault="00111440" w:rsidP="00111440">
            <w:pPr>
              <w:spacing w:line="276" w:lineRule="auto"/>
              <w:rPr>
                <w:sz w:val="18"/>
                <w:szCs w:val="18"/>
              </w:rPr>
            </w:pPr>
            <w:r w:rsidRPr="00111440">
              <w:rPr>
                <w:sz w:val="18"/>
                <w:szCs w:val="18"/>
              </w:rPr>
              <w:t>HP-SAPO-5</w:t>
            </w:r>
          </w:p>
        </w:tc>
        <w:tc>
          <w:tcPr>
            <w:tcW w:w="1617" w:type="dxa"/>
          </w:tcPr>
          <w:p w14:paraId="00D83E5E" w14:textId="77777777" w:rsidR="00111440" w:rsidRPr="00111440" w:rsidRDefault="00111440" w:rsidP="00111440">
            <w:pPr>
              <w:spacing w:line="276" w:lineRule="auto"/>
              <w:jc w:val="both"/>
              <w:rPr>
                <w:sz w:val="18"/>
                <w:szCs w:val="18"/>
              </w:rPr>
            </w:pPr>
            <w:r w:rsidRPr="00111440">
              <w:rPr>
                <w:sz w:val="18"/>
                <w:szCs w:val="18"/>
              </w:rPr>
              <w:t>18.8</w:t>
            </w:r>
          </w:p>
        </w:tc>
        <w:tc>
          <w:tcPr>
            <w:tcW w:w="1617" w:type="dxa"/>
          </w:tcPr>
          <w:p w14:paraId="02DD42BE" w14:textId="77777777" w:rsidR="00111440" w:rsidRPr="00111440" w:rsidRDefault="00111440" w:rsidP="00111440">
            <w:pPr>
              <w:spacing w:line="276" w:lineRule="auto"/>
              <w:jc w:val="both"/>
              <w:rPr>
                <w:sz w:val="18"/>
                <w:szCs w:val="18"/>
              </w:rPr>
            </w:pPr>
            <w:r>
              <w:rPr>
                <w:sz w:val="18"/>
                <w:szCs w:val="18"/>
              </w:rPr>
              <w:t xml:space="preserve">20.8 </w:t>
            </w:r>
          </w:p>
        </w:tc>
        <w:tc>
          <w:tcPr>
            <w:tcW w:w="1617" w:type="dxa"/>
          </w:tcPr>
          <w:p w14:paraId="7D56150A" w14:textId="77777777" w:rsidR="00111440" w:rsidRPr="00111440" w:rsidRDefault="00111440" w:rsidP="00111440">
            <w:pPr>
              <w:spacing w:line="276" w:lineRule="auto"/>
              <w:jc w:val="both"/>
              <w:rPr>
                <w:sz w:val="18"/>
                <w:szCs w:val="18"/>
              </w:rPr>
            </w:pPr>
            <w:r w:rsidRPr="00111440">
              <w:rPr>
                <w:sz w:val="18"/>
                <w:szCs w:val="18"/>
              </w:rPr>
              <w:t>7.3</w:t>
            </w:r>
          </w:p>
        </w:tc>
        <w:tc>
          <w:tcPr>
            <w:tcW w:w="1618" w:type="dxa"/>
          </w:tcPr>
          <w:p w14:paraId="6A7217CD" w14:textId="77777777" w:rsidR="00111440" w:rsidRPr="00111440" w:rsidRDefault="00111440" w:rsidP="00111440">
            <w:pPr>
              <w:spacing w:line="276" w:lineRule="auto"/>
              <w:rPr>
                <w:sz w:val="18"/>
                <w:szCs w:val="18"/>
              </w:rPr>
            </w:pPr>
            <w:r w:rsidRPr="00111440">
              <w:rPr>
                <w:sz w:val="18"/>
                <w:szCs w:val="18"/>
              </w:rPr>
              <w:t>0.0</w:t>
            </w:r>
            <w:r>
              <w:rPr>
                <w:sz w:val="18"/>
                <w:szCs w:val="18"/>
              </w:rPr>
              <w:t>0</w:t>
            </w:r>
          </w:p>
        </w:tc>
      </w:tr>
      <w:tr w:rsidR="00111440" w14:paraId="10824497" w14:textId="77777777" w:rsidTr="003960FA">
        <w:tc>
          <w:tcPr>
            <w:tcW w:w="2547" w:type="dxa"/>
          </w:tcPr>
          <w:p w14:paraId="6DC272B5" w14:textId="77777777" w:rsidR="00111440" w:rsidRPr="00111440" w:rsidRDefault="00111440" w:rsidP="00111440">
            <w:pPr>
              <w:spacing w:line="276" w:lineRule="auto"/>
              <w:rPr>
                <w:sz w:val="18"/>
                <w:szCs w:val="18"/>
              </w:rPr>
            </w:pPr>
            <w:r w:rsidRPr="00111440">
              <w:rPr>
                <w:sz w:val="18"/>
                <w:szCs w:val="18"/>
              </w:rPr>
              <w:t>Au/HP-SAPO-5 AE</w:t>
            </w:r>
          </w:p>
        </w:tc>
        <w:tc>
          <w:tcPr>
            <w:tcW w:w="1617" w:type="dxa"/>
          </w:tcPr>
          <w:p w14:paraId="57B787DB" w14:textId="77777777" w:rsidR="00111440" w:rsidRPr="00111440" w:rsidRDefault="00111440" w:rsidP="00111440">
            <w:pPr>
              <w:spacing w:line="276" w:lineRule="auto"/>
              <w:rPr>
                <w:sz w:val="18"/>
                <w:szCs w:val="18"/>
              </w:rPr>
            </w:pPr>
            <w:r>
              <w:rPr>
                <w:sz w:val="18"/>
                <w:szCs w:val="18"/>
              </w:rPr>
              <w:t>22.2</w:t>
            </w:r>
          </w:p>
        </w:tc>
        <w:tc>
          <w:tcPr>
            <w:tcW w:w="1617" w:type="dxa"/>
          </w:tcPr>
          <w:p w14:paraId="36E3D15F" w14:textId="77777777" w:rsidR="00111440" w:rsidRPr="00111440" w:rsidRDefault="00111440" w:rsidP="00111440">
            <w:pPr>
              <w:spacing w:line="276" w:lineRule="auto"/>
              <w:rPr>
                <w:sz w:val="18"/>
                <w:szCs w:val="18"/>
              </w:rPr>
            </w:pPr>
            <w:r>
              <w:rPr>
                <w:sz w:val="18"/>
                <w:szCs w:val="18"/>
              </w:rPr>
              <w:t>17.7</w:t>
            </w:r>
          </w:p>
        </w:tc>
        <w:tc>
          <w:tcPr>
            <w:tcW w:w="1617" w:type="dxa"/>
          </w:tcPr>
          <w:p w14:paraId="5CE40A2B" w14:textId="77777777" w:rsidR="00111440" w:rsidRPr="00111440" w:rsidRDefault="00111440" w:rsidP="00111440">
            <w:pPr>
              <w:spacing w:line="276" w:lineRule="auto"/>
              <w:rPr>
                <w:sz w:val="18"/>
                <w:szCs w:val="18"/>
              </w:rPr>
            </w:pPr>
            <w:r>
              <w:rPr>
                <w:sz w:val="18"/>
                <w:szCs w:val="18"/>
              </w:rPr>
              <w:t>8.6</w:t>
            </w:r>
          </w:p>
        </w:tc>
        <w:tc>
          <w:tcPr>
            <w:tcW w:w="1618" w:type="dxa"/>
          </w:tcPr>
          <w:p w14:paraId="3366F999" w14:textId="77777777" w:rsidR="00111440" w:rsidRPr="00111440" w:rsidRDefault="00111440" w:rsidP="00111440">
            <w:pPr>
              <w:spacing w:line="276" w:lineRule="auto"/>
              <w:rPr>
                <w:sz w:val="18"/>
                <w:szCs w:val="18"/>
              </w:rPr>
            </w:pPr>
            <w:r>
              <w:rPr>
                <w:sz w:val="18"/>
                <w:szCs w:val="18"/>
              </w:rPr>
              <w:t>0.57</w:t>
            </w:r>
          </w:p>
        </w:tc>
      </w:tr>
      <w:tr w:rsidR="00111440" w14:paraId="7C2D2008" w14:textId="77777777" w:rsidTr="003960FA">
        <w:tc>
          <w:tcPr>
            <w:tcW w:w="2547" w:type="dxa"/>
          </w:tcPr>
          <w:p w14:paraId="708E1ECF" w14:textId="77777777" w:rsidR="00111440" w:rsidRPr="00111440" w:rsidRDefault="00111440" w:rsidP="00111440">
            <w:pPr>
              <w:spacing w:line="276" w:lineRule="auto"/>
              <w:rPr>
                <w:sz w:val="18"/>
                <w:szCs w:val="18"/>
              </w:rPr>
            </w:pPr>
            <w:r w:rsidRPr="00111440">
              <w:rPr>
                <w:sz w:val="18"/>
                <w:szCs w:val="18"/>
              </w:rPr>
              <w:t>Au/HP-SAPO-5 WI</w:t>
            </w:r>
          </w:p>
        </w:tc>
        <w:tc>
          <w:tcPr>
            <w:tcW w:w="1617" w:type="dxa"/>
          </w:tcPr>
          <w:p w14:paraId="1740CFC1" w14:textId="77777777" w:rsidR="00111440" w:rsidRPr="00111440" w:rsidRDefault="00111440" w:rsidP="00111440">
            <w:pPr>
              <w:spacing w:line="276" w:lineRule="auto"/>
              <w:rPr>
                <w:sz w:val="18"/>
                <w:szCs w:val="18"/>
              </w:rPr>
            </w:pPr>
            <w:r>
              <w:rPr>
                <w:sz w:val="18"/>
                <w:szCs w:val="18"/>
              </w:rPr>
              <w:t>18.7</w:t>
            </w:r>
          </w:p>
        </w:tc>
        <w:tc>
          <w:tcPr>
            <w:tcW w:w="1617" w:type="dxa"/>
          </w:tcPr>
          <w:p w14:paraId="2C6EEFF6" w14:textId="77777777" w:rsidR="00111440" w:rsidRPr="00111440" w:rsidRDefault="00111440" w:rsidP="00111440">
            <w:pPr>
              <w:spacing w:line="276" w:lineRule="auto"/>
              <w:rPr>
                <w:sz w:val="18"/>
                <w:szCs w:val="18"/>
              </w:rPr>
            </w:pPr>
            <w:r>
              <w:rPr>
                <w:sz w:val="18"/>
                <w:szCs w:val="18"/>
              </w:rPr>
              <w:t>20.8</w:t>
            </w:r>
          </w:p>
        </w:tc>
        <w:tc>
          <w:tcPr>
            <w:tcW w:w="1617" w:type="dxa"/>
          </w:tcPr>
          <w:p w14:paraId="36F889D5" w14:textId="77777777" w:rsidR="00111440" w:rsidRPr="00111440" w:rsidRDefault="00111440" w:rsidP="00111440">
            <w:pPr>
              <w:spacing w:line="276" w:lineRule="auto"/>
              <w:rPr>
                <w:sz w:val="18"/>
                <w:szCs w:val="18"/>
              </w:rPr>
            </w:pPr>
            <w:r>
              <w:rPr>
                <w:sz w:val="18"/>
                <w:szCs w:val="18"/>
              </w:rPr>
              <w:t>7.3</w:t>
            </w:r>
          </w:p>
        </w:tc>
        <w:tc>
          <w:tcPr>
            <w:tcW w:w="1618" w:type="dxa"/>
          </w:tcPr>
          <w:p w14:paraId="77CC8592" w14:textId="77777777" w:rsidR="00111440" w:rsidRPr="00111440" w:rsidRDefault="00111440" w:rsidP="00111440">
            <w:pPr>
              <w:spacing w:line="276" w:lineRule="auto"/>
              <w:rPr>
                <w:sz w:val="18"/>
                <w:szCs w:val="18"/>
              </w:rPr>
            </w:pPr>
            <w:r>
              <w:rPr>
                <w:sz w:val="18"/>
                <w:szCs w:val="18"/>
              </w:rPr>
              <w:t>0.10</w:t>
            </w:r>
          </w:p>
        </w:tc>
      </w:tr>
      <w:tr w:rsidR="00111440" w14:paraId="3933C223" w14:textId="77777777" w:rsidTr="003960FA">
        <w:tc>
          <w:tcPr>
            <w:tcW w:w="2547" w:type="dxa"/>
            <w:tcBorders>
              <w:bottom w:val="single" w:sz="4" w:space="0" w:color="auto"/>
            </w:tcBorders>
          </w:tcPr>
          <w:p w14:paraId="6A32C59F" w14:textId="77777777" w:rsidR="00111440" w:rsidRPr="00111440" w:rsidRDefault="00111440" w:rsidP="00111440">
            <w:pPr>
              <w:spacing w:line="276" w:lineRule="auto"/>
              <w:rPr>
                <w:sz w:val="18"/>
                <w:szCs w:val="18"/>
              </w:rPr>
            </w:pPr>
            <w:r w:rsidRPr="00111440">
              <w:rPr>
                <w:sz w:val="18"/>
                <w:szCs w:val="18"/>
              </w:rPr>
              <w:t>Au/HP-SAPO-5</w:t>
            </w:r>
            <w:r w:rsidR="00FF4387">
              <w:rPr>
                <w:sz w:val="18"/>
                <w:szCs w:val="18"/>
              </w:rPr>
              <w:t xml:space="preserve"> IW</w:t>
            </w:r>
          </w:p>
        </w:tc>
        <w:tc>
          <w:tcPr>
            <w:tcW w:w="1617" w:type="dxa"/>
            <w:tcBorders>
              <w:bottom w:val="single" w:sz="4" w:space="0" w:color="auto"/>
            </w:tcBorders>
          </w:tcPr>
          <w:p w14:paraId="38D44233" w14:textId="77777777" w:rsidR="00111440" w:rsidRPr="00111440" w:rsidRDefault="00111440" w:rsidP="00111440">
            <w:pPr>
              <w:spacing w:line="276" w:lineRule="auto"/>
              <w:rPr>
                <w:sz w:val="18"/>
                <w:szCs w:val="18"/>
              </w:rPr>
            </w:pPr>
            <w:r>
              <w:rPr>
                <w:sz w:val="18"/>
                <w:szCs w:val="18"/>
              </w:rPr>
              <w:t>20.2</w:t>
            </w:r>
          </w:p>
        </w:tc>
        <w:tc>
          <w:tcPr>
            <w:tcW w:w="1617" w:type="dxa"/>
            <w:tcBorders>
              <w:bottom w:val="single" w:sz="4" w:space="0" w:color="auto"/>
            </w:tcBorders>
          </w:tcPr>
          <w:p w14:paraId="41FC6569" w14:textId="77777777" w:rsidR="00111440" w:rsidRPr="00111440" w:rsidRDefault="00111440" w:rsidP="00111440">
            <w:pPr>
              <w:spacing w:line="276" w:lineRule="auto"/>
              <w:rPr>
                <w:sz w:val="18"/>
                <w:szCs w:val="18"/>
              </w:rPr>
            </w:pPr>
            <w:r>
              <w:rPr>
                <w:sz w:val="18"/>
                <w:szCs w:val="18"/>
              </w:rPr>
              <w:t>16.7</w:t>
            </w:r>
          </w:p>
        </w:tc>
        <w:tc>
          <w:tcPr>
            <w:tcW w:w="1617" w:type="dxa"/>
            <w:tcBorders>
              <w:bottom w:val="single" w:sz="4" w:space="0" w:color="auto"/>
            </w:tcBorders>
          </w:tcPr>
          <w:p w14:paraId="0ACB408B" w14:textId="77777777" w:rsidR="00111440" w:rsidRPr="00111440" w:rsidRDefault="00111440" w:rsidP="00111440">
            <w:pPr>
              <w:spacing w:line="276" w:lineRule="auto"/>
              <w:rPr>
                <w:sz w:val="18"/>
                <w:szCs w:val="18"/>
              </w:rPr>
            </w:pPr>
            <w:r>
              <w:rPr>
                <w:sz w:val="18"/>
                <w:szCs w:val="18"/>
              </w:rPr>
              <w:t>8.0</w:t>
            </w:r>
          </w:p>
        </w:tc>
        <w:tc>
          <w:tcPr>
            <w:tcW w:w="1618" w:type="dxa"/>
            <w:tcBorders>
              <w:bottom w:val="single" w:sz="4" w:space="0" w:color="auto"/>
            </w:tcBorders>
          </w:tcPr>
          <w:p w14:paraId="3277CE58" w14:textId="77777777" w:rsidR="00111440" w:rsidRPr="00111440" w:rsidRDefault="00111440" w:rsidP="00111440">
            <w:pPr>
              <w:spacing w:line="276" w:lineRule="auto"/>
              <w:rPr>
                <w:sz w:val="18"/>
                <w:szCs w:val="18"/>
              </w:rPr>
            </w:pPr>
            <w:r>
              <w:rPr>
                <w:sz w:val="18"/>
                <w:szCs w:val="18"/>
              </w:rPr>
              <w:t>0.64</w:t>
            </w:r>
          </w:p>
        </w:tc>
      </w:tr>
    </w:tbl>
    <w:p w14:paraId="11AB8D16" w14:textId="77777777" w:rsidR="00111440" w:rsidRDefault="00111440" w:rsidP="00852874">
      <w:pPr>
        <w:spacing w:after="0" w:line="276" w:lineRule="auto"/>
      </w:pPr>
    </w:p>
    <w:p w14:paraId="7D504CB2" w14:textId="77777777" w:rsidR="00111440" w:rsidRDefault="00111440" w:rsidP="00852874">
      <w:pPr>
        <w:spacing w:after="0" w:line="276" w:lineRule="auto"/>
      </w:pPr>
    </w:p>
    <w:p w14:paraId="0C9B425A" w14:textId="77777777" w:rsidR="00686CE4" w:rsidRPr="00111440" w:rsidRDefault="00686CE4" w:rsidP="00852874">
      <w:pPr>
        <w:spacing w:after="0" w:line="276" w:lineRule="auto"/>
      </w:pPr>
    </w:p>
    <w:p w14:paraId="3B4D2992" w14:textId="68D20DF1" w:rsidR="00637EB4" w:rsidRDefault="00494DD8" w:rsidP="000756B6">
      <w:pPr>
        <w:spacing w:after="0" w:line="276" w:lineRule="auto"/>
        <w:jc w:val="center"/>
        <w:rPr>
          <w:b/>
        </w:rPr>
      </w:pPr>
      <w:r>
        <w:rPr>
          <w:b/>
          <w:noProof/>
          <w:lang w:eastAsia="en-GB"/>
        </w:rPr>
        <w:drawing>
          <wp:inline distT="0" distB="0" distL="0" distR="0" wp14:anchorId="4872F5BF" wp14:editId="0C8A4B0A">
            <wp:extent cx="5015824" cy="3267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6005" cy="3273707"/>
                    </a:xfrm>
                    <a:prstGeom prst="rect">
                      <a:avLst/>
                    </a:prstGeom>
                    <a:noFill/>
                  </pic:spPr>
                </pic:pic>
              </a:graphicData>
            </a:graphic>
          </wp:inline>
        </w:drawing>
      </w:r>
    </w:p>
    <w:p w14:paraId="1A40ACB2" w14:textId="00310167" w:rsidR="001C1E62" w:rsidRDefault="001C1E62" w:rsidP="001C1E62">
      <w:pPr>
        <w:spacing w:after="0" w:line="276" w:lineRule="auto"/>
      </w:pPr>
      <w:r>
        <w:t>Figure S</w:t>
      </w:r>
      <w:r w:rsidR="00B27A94">
        <w:t>4</w:t>
      </w:r>
      <w:r>
        <w:t>: Powder XRD patterns showing the phase purity of M</w:t>
      </w:r>
      <w:r w:rsidR="00E743C3">
        <w:t>P</w:t>
      </w:r>
      <w:r>
        <w:t xml:space="preserve">-SAPO-5 is maintained on depositing Au onto the system. </w:t>
      </w:r>
    </w:p>
    <w:p w14:paraId="3E2DD64C" w14:textId="77777777" w:rsidR="001C1E62" w:rsidRDefault="001C1E62" w:rsidP="001C1E62">
      <w:pPr>
        <w:spacing w:after="0" w:line="276" w:lineRule="auto"/>
      </w:pPr>
    </w:p>
    <w:p w14:paraId="7F82ECD5" w14:textId="77777777" w:rsidR="00933396" w:rsidRDefault="00933396" w:rsidP="001C1E62">
      <w:pPr>
        <w:spacing w:after="0" w:line="276" w:lineRule="auto"/>
      </w:pPr>
    </w:p>
    <w:p w14:paraId="5CC4B5AB" w14:textId="77777777" w:rsidR="001C1E62" w:rsidRDefault="001C1E62" w:rsidP="001C1E62">
      <w:pPr>
        <w:spacing w:after="0" w:line="276" w:lineRule="auto"/>
        <w:jc w:val="center"/>
      </w:pPr>
      <w:r w:rsidRPr="001C1E62">
        <w:rPr>
          <w:noProof/>
          <w:lang w:eastAsia="en-GB"/>
        </w:rPr>
        <w:lastRenderedPageBreak/>
        <w:drawing>
          <wp:inline distT="0" distB="0" distL="0" distR="0" wp14:anchorId="073EE6C0" wp14:editId="1326FDB7">
            <wp:extent cx="5097439" cy="3319604"/>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13884" cy="3330313"/>
                    </a:xfrm>
                    <a:prstGeom prst="rect">
                      <a:avLst/>
                    </a:prstGeom>
                  </pic:spPr>
                </pic:pic>
              </a:graphicData>
            </a:graphic>
          </wp:inline>
        </w:drawing>
      </w:r>
    </w:p>
    <w:p w14:paraId="017A3891" w14:textId="77777777" w:rsidR="002330F8" w:rsidRDefault="001C1E62" w:rsidP="002330F8">
      <w:pPr>
        <w:spacing w:after="0" w:line="276" w:lineRule="auto"/>
      </w:pPr>
      <w:r>
        <w:t>Figure S</w:t>
      </w:r>
      <w:r w:rsidR="00B27A94">
        <w:t>5</w:t>
      </w:r>
      <w:r>
        <w:t xml:space="preserve">: Powder XRD patterns showing the phase purity of HP-SAPO-5 is maintained on depositing Au onto the system. </w:t>
      </w:r>
    </w:p>
    <w:p w14:paraId="48D8C52D" w14:textId="77777777" w:rsidR="002330F8" w:rsidRDefault="002330F8" w:rsidP="002330F8">
      <w:pPr>
        <w:spacing w:after="0" w:line="276" w:lineRule="auto"/>
      </w:pPr>
    </w:p>
    <w:p w14:paraId="3F113986" w14:textId="77777777" w:rsidR="002330F8" w:rsidRDefault="002330F8" w:rsidP="002330F8">
      <w:pPr>
        <w:spacing w:after="0" w:line="276" w:lineRule="auto"/>
      </w:pPr>
    </w:p>
    <w:p w14:paraId="12D89762" w14:textId="77777777" w:rsidR="00686CE4" w:rsidRDefault="00686CE4" w:rsidP="002330F8">
      <w:pPr>
        <w:spacing w:after="0" w:line="276" w:lineRule="auto"/>
      </w:pPr>
    </w:p>
    <w:p w14:paraId="1A344BF1" w14:textId="27590F86" w:rsidR="00223981" w:rsidRDefault="00C54919" w:rsidP="00DB4236">
      <w:pPr>
        <w:spacing w:after="0" w:line="276" w:lineRule="auto"/>
        <w:jc w:val="center"/>
      </w:pPr>
      <w:r>
        <w:rPr>
          <w:noProof/>
          <w:lang w:eastAsia="en-GB"/>
        </w:rPr>
        <w:drawing>
          <wp:inline distT="0" distB="0" distL="0" distR="0" wp14:anchorId="66ABE430" wp14:editId="6FCD8067">
            <wp:extent cx="5103565" cy="33242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9383" cy="3334528"/>
                    </a:xfrm>
                    <a:prstGeom prst="rect">
                      <a:avLst/>
                    </a:prstGeom>
                    <a:noFill/>
                  </pic:spPr>
                </pic:pic>
              </a:graphicData>
            </a:graphic>
          </wp:inline>
        </w:drawing>
      </w:r>
    </w:p>
    <w:p w14:paraId="63521F03" w14:textId="730F81FD" w:rsidR="00223981" w:rsidRPr="00E7750A" w:rsidRDefault="00223981" w:rsidP="00223981">
      <w:pPr>
        <w:spacing w:after="0" w:line="276" w:lineRule="auto"/>
      </w:pPr>
      <w:r>
        <w:t>Figure S</w:t>
      </w:r>
      <w:r w:rsidR="00B27A94">
        <w:t>6</w:t>
      </w:r>
      <w:r>
        <w:t>: BJH pore size distribution functions of M</w:t>
      </w:r>
      <w:r w:rsidR="00E743C3">
        <w:t>P</w:t>
      </w:r>
      <w:r>
        <w:t>-SAPO-5 after Au deposition.</w:t>
      </w:r>
      <w:r w:rsidR="00E7750A">
        <w:t xml:space="preserve"> Plots are stacked in increments of 0.05 cm</w:t>
      </w:r>
      <w:r w:rsidR="00E7750A">
        <w:rPr>
          <w:vertAlign w:val="superscript"/>
        </w:rPr>
        <w:t>3</w:t>
      </w:r>
      <w:r w:rsidR="00E7750A">
        <w:t>/g for clarity.</w:t>
      </w:r>
    </w:p>
    <w:p w14:paraId="607C9459" w14:textId="77777777" w:rsidR="00933396" w:rsidRDefault="00933396" w:rsidP="00223981">
      <w:pPr>
        <w:spacing w:after="0" w:line="276" w:lineRule="auto"/>
      </w:pPr>
    </w:p>
    <w:p w14:paraId="26540781" w14:textId="77777777" w:rsidR="00223981" w:rsidRDefault="00223981" w:rsidP="00223981">
      <w:pPr>
        <w:spacing w:after="0" w:line="276" w:lineRule="auto"/>
      </w:pPr>
    </w:p>
    <w:p w14:paraId="00B0AC4B" w14:textId="77777777" w:rsidR="00933396" w:rsidRDefault="00933396" w:rsidP="00223981">
      <w:pPr>
        <w:spacing w:after="0" w:line="276" w:lineRule="auto"/>
      </w:pPr>
    </w:p>
    <w:p w14:paraId="14CE7737" w14:textId="77777777" w:rsidR="00223981" w:rsidRDefault="00223981" w:rsidP="00223981">
      <w:pPr>
        <w:spacing w:after="0" w:line="276" w:lineRule="auto"/>
        <w:jc w:val="center"/>
      </w:pPr>
      <w:r w:rsidRPr="00223981">
        <w:rPr>
          <w:noProof/>
          <w:lang w:eastAsia="en-GB"/>
        </w:rPr>
        <w:lastRenderedPageBreak/>
        <w:drawing>
          <wp:inline distT="0" distB="0" distL="0" distR="0" wp14:anchorId="3D87E5FB" wp14:editId="218EB331">
            <wp:extent cx="4967785" cy="3235170"/>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1533" cy="3244123"/>
                    </a:xfrm>
                    <a:prstGeom prst="rect">
                      <a:avLst/>
                    </a:prstGeom>
                  </pic:spPr>
                </pic:pic>
              </a:graphicData>
            </a:graphic>
          </wp:inline>
        </w:drawing>
      </w:r>
    </w:p>
    <w:p w14:paraId="4FC034C6" w14:textId="77777777" w:rsidR="00D254FC" w:rsidRPr="00E7750A" w:rsidRDefault="00223981" w:rsidP="00D254FC">
      <w:pPr>
        <w:spacing w:after="0" w:line="276" w:lineRule="auto"/>
      </w:pPr>
      <w:r>
        <w:t>Figure S</w:t>
      </w:r>
      <w:r w:rsidR="00B27A94">
        <w:t>7</w:t>
      </w:r>
      <w:r>
        <w:t>: BJH pore size distribution functions of HP-SAPO-5 after Au deposition.</w:t>
      </w:r>
      <w:r w:rsidR="00D254FC">
        <w:t xml:space="preserve"> Plots are stacked in increments of 0.05 cm</w:t>
      </w:r>
      <w:r w:rsidR="00D254FC">
        <w:rPr>
          <w:vertAlign w:val="superscript"/>
        </w:rPr>
        <w:t>3</w:t>
      </w:r>
      <w:r w:rsidR="00D254FC">
        <w:t>/g for clarity.</w:t>
      </w:r>
    </w:p>
    <w:p w14:paraId="1BB57353" w14:textId="77777777" w:rsidR="00223981" w:rsidRDefault="00223981" w:rsidP="00223981">
      <w:pPr>
        <w:spacing w:after="0" w:line="276" w:lineRule="auto"/>
      </w:pPr>
    </w:p>
    <w:p w14:paraId="1B15FBCA" w14:textId="77777777" w:rsidR="002330F8" w:rsidRDefault="002330F8" w:rsidP="00223981">
      <w:pPr>
        <w:spacing w:after="0" w:line="276" w:lineRule="auto"/>
      </w:pPr>
    </w:p>
    <w:p w14:paraId="3569368C" w14:textId="77777777" w:rsidR="002330F8" w:rsidRDefault="002330F8" w:rsidP="00223981">
      <w:pPr>
        <w:spacing w:after="0" w:line="276" w:lineRule="auto"/>
      </w:pPr>
    </w:p>
    <w:p w14:paraId="205E5B40" w14:textId="77777777" w:rsidR="002330F8" w:rsidRDefault="002330F8" w:rsidP="00223981">
      <w:pPr>
        <w:spacing w:after="0" w:line="276" w:lineRule="auto"/>
      </w:pPr>
      <w:r>
        <w:t>Table S</w:t>
      </w:r>
      <w:r w:rsidR="00B27A94">
        <w:t>4</w:t>
      </w:r>
      <w:r>
        <w:t>: Comparing the nitrogen physisorption data of gold-doped SAPO-5 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134"/>
        <w:gridCol w:w="1701"/>
        <w:gridCol w:w="1701"/>
        <w:gridCol w:w="1701"/>
        <w:gridCol w:w="1083"/>
      </w:tblGrid>
      <w:tr w:rsidR="006411B2" w:rsidRPr="006411B2" w14:paraId="78CB6C99" w14:textId="77777777" w:rsidTr="006411B2">
        <w:trPr>
          <w:jc w:val="center"/>
        </w:trPr>
        <w:tc>
          <w:tcPr>
            <w:tcW w:w="1696" w:type="dxa"/>
            <w:tcBorders>
              <w:top w:val="single" w:sz="4" w:space="0" w:color="auto"/>
              <w:bottom w:val="single" w:sz="4" w:space="0" w:color="auto"/>
            </w:tcBorders>
          </w:tcPr>
          <w:p w14:paraId="5EDF572D" w14:textId="77777777" w:rsidR="006411B2" w:rsidRPr="006411B2" w:rsidRDefault="006411B2" w:rsidP="006411B2">
            <w:pPr>
              <w:spacing w:line="276" w:lineRule="auto"/>
              <w:rPr>
                <w:sz w:val="18"/>
                <w:szCs w:val="18"/>
              </w:rPr>
            </w:pPr>
            <w:r w:rsidRPr="006411B2">
              <w:rPr>
                <w:sz w:val="18"/>
                <w:szCs w:val="18"/>
              </w:rPr>
              <w:t>Sample</w:t>
            </w:r>
          </w:p>
        </w:tc>
        <w:tc>
          <w:tcPr>
            <w:tcW w:w="1134" w:type="dxa"/>
            <w:tcBorders>
              <w:top w:val="single" w:sz="4" w:space="0" w:color="auto"/>
              <w:bottom w:val="single" w:sz="4" w:space="0" w:color="auto"/>
            </w:tcBorders>
          </w:tcPr>
          <w:p w14:paraId="39204AA4" w14:textId="77777777" w:rsidR="006411B2" w:rsidRPr="006411B2" w:rsidRDefault="006411B2" w:rsidP="006411B2">
            <w:pPr>
              <w:spacing w:line="276" w:lineRule="auto"/>
              <w:jc w:val="center"/>
              <w:rPr>
                <w:sz w:val="18"/>
                <w:szCs w:val="18"/>
              </w:rPr>
            </w:pPr>
            <w:r w:rsidRPr="006411B2">
              <w:rPr>
                <w:sz w:val="18"/>
                <w:szCs w:val="18"/>
              </w:rPr>
              <w:t>Surface area</w:t>
            </w:r>
          </w:p>
          <w:p w14:paraId="26DC41A2" w14:textId="77777777" w:rsidR="006411B2" w:rsidRPr="006411B2" w:rsidRDefault="006411B2" w:rsidP="006411B2">
            <w:pPr>
              <w:spacing w:line="276" w:lineRule="auto"/>
              <w:jc w:val="center"/>
              <w:rPr>
                <w:sz w:val="18"/>
                <w:szCs w:val="18"/>
              </w:rPr>
            </w:pPr>
            <w:r w:rsidRPr="006411B2">
              <w:rPr>
                <w:sz w:val="18"/>
                <w:szCs w:val="18"/>
              </w:rPr>
              <w:t>/m</w:t>
            </w:r>
            <w:r w:rsidRPr="006411B2">
              <w:rPr>
                <w:sz w:val="18"/>
                <w:szCs w:val="18"/>
                <w:vertAlign w:val="superscript"/>
              </w:rPr>
              <w:t>2</w:t>
            </w:r>
            <w:r w:rsidRPr="006411B2">
              <w:rPr>
                <w:sz w:val="18"/>
                <w:szCs w:val="18"/>
              </w:rPr>
              <w:t>.g</w:t>
            </w:r>
            <w:r w:rsidRPr="006411B2">
              <w:rPr>
                <w:sz w:val="18"/>
                <w:szCs w:val="18"/>
                <w:vertAlign w:val="superscript"/>
              </w:rPr>
              <w:t>-1</w:t>
            </w:r>
          </w:p>
        </w:tc>
        <w:tc>
          <w:tcPr>
            <w:tcW w:w="1701" w:type="dxa"/>
            <w:tcBorders>
              <w:top w:val="single" w:sz="4" w:space="0" w:color="auto"/>
              <w:bottom w:val="single" w:sz="4" w:space="0" w:color="auto"/>
            </w:tcBorders>
            <w:vAlign w:val="bottom"/>
          </w:tcPr>
          <w:p w14:paraId="6ACEA556" w14:textId="77777777" w:rsidR="006411B2" w:rsidRPr="006411B2" w:rsidRDefault="006411B2" w:rsidP="006411B2">
            <w:pPr>
              <w:spacing w:line="276" w:lineRule="auto"/>
              <w:jc w:val="center"/>
              <w:rPr>
                <w:sz w:val="18"/>
                <w:szCs w:val="18"/>
              </w:rPr>
            </w:pPr>
            <w:r w:rsidRPr="006411B2">
              <w:rPr>
                <w:sz w:val="18"/>
                <w:szCs w:val="18"/>
              </w:rPr>
              <w:t>Total pore volume</w:t>
            </w:r>
          </w:p>
          <w:p w14:paraId="14A9CB02" w14:textId="77777777" w:rsidR="006411B2" w:rsidRPr="006411B2" w:rsidRDefault="006411B2" w:rsidP="006411B2">
            <w:pPr>
              <w:spacing w:line="276" w:lineRule="auto"/>
              <w:jc w:val="center"/>
              <w:rPr>
                <w:sz w:val="18"/>
                <w:szCs w:val="18"/>
              </w:rPr>
            </w:pPr>
            <w:r w:rsidRPr="006411B2">
              <w:rPr>
                <w:sz w:val="18"/>
                <w:szCs w:val="18"/>
              </w:rPr>
              <w:t>/cm</w:t>
            </w:r>
            <w:r w:rsidRPr="006411B2">
              <w:rPr>
                <w:sz w:val="18"/>
                <w:szCs w:val="18"/>
                <w:vertAlign w:val="superscript"/>
              </w:rPr>
              <w:t>3</w:t>
            </w:r>
            <w:r w:rsidRPr="006411B2">
              <w:rPr>
                <w:sz w:val="18"/>
                <w:szCs w:val="18"/>
              </w:rPr>
              <w:t>.g</w:t>
            </w:r>
            <w:r w:rsidRPr="006411B2">
              <w:rPr>
                <w:sz w:val="18"/>
                <w:szCs w:val="18"/>
                <w:vertAlign w:val="superscript"/>
              </w:rPr>
              <w:t>-1</w:t>
            </w:r>
          </w:p>
        </w:tc>
        <w:tc>
          <w:tcPr>
            <w:tcW w:w="1701" w:type="dxa"/>
            <w:tcBorders>
              <w:top w:val="single" w:sz="4" w:space="0" w:color="auto"/>
              <w:bottom w:val="single" w:sz="4" w:space="0" w:color="auto"/>
            </w:tcBorders>
            <w:vAlign w:val="bottom"/>
          </w:tcPr>
          <w:p w14:paraId="50DDBB75" w14:textId="77777777" w:rsidR="006411B2" w:rsidRPr="006411B2" w:rsidRDefault="006411B2" w:rsidP="006411B2">
            <w:pPr>
              <w:spacing w:line="276" w:lineRule="auto"/>
              <w:jc w:val="center"/>
              <w:rPr>
                <w:sz w:val="18"/>
                <w:szCs w:val="18"/>
              </w:rPr>
            </w:pPr>
            <w:r w:rsidRPr="006411B2">
              <w:rPr>
                <w:sz w:val="18"/>
                <w:szCs w:val="18"/>
              </w:rPr>
              <w:t>Micropore volume</w:t>
            </w:r>
          </w:p>
          <w:p w14:paraId="656D4607" w14:textId="77777777" w:rsidR="006411B2" w:rsidRPr="006411B2" w:rsidRDefault="006411B2" w:rsidP="006411B2">
            <w:pPr>
              <w:spacing w:line="276" w:lineRule="auto"/>
              <w:jc w:val="center"/>
              <w:rPr>
                <w:sz w:val="18"/>
                <w:szCs w:val="18"/>
              </w:rPr>
            </w:pPr>
            <w:r w:rsidRPr="006411B2">
              <w:rPr>
                <w:sz w:val="18"/>
                <w:szCs w:val="18"/>
              </w:rPr>
              <w:t>/cm</w:t>
            </w:r>
            <w:r w:rsidRPr="006411B2">
              <w:rPr>
                <w:sz w:val="18"/>
                <w:szCs w:val="18"/>
                <w:vertAlign w:val="superscript"/>
              </w:rPr>
              <w:t>3</w:t>
            </w:r>
            <w:r w:rsidRPr="006411B2">
              <w:rPr>
                <w:sz w:val="18"/>
                <w:szCs w:val="18"/>
              </w:rPr>
              <w:t>.g</w:t>
            </w:r>
            <w:r w:rsidRPr="006411B2">
              <w:rPr>
                <w:sz w:val="18"/>
                <w:szCs w:val="18"/>
                <w:vertAlign w:val="superscript"/>
              </w:rPr>
              <w:t>-1</w:t>
            </w:r>
          </w:p>
        </w:tc>
        <w:tc>
          <w:tcPr>
            <w:tcW w:w="1701" w:type="dxa"/>
            <w:tcBorders>
              <w:top w:val="single" w:sz="4" w:space="0" w:color="auto"/>
              <w:bottom w:val="single" w:sz="4" w:space="0" w:color="auto"/>
            </w:tcBorders>
            <w:vAlign w:val="bottom"/>
          </w:tcPr>
          <w:p w14:paraId="2C24622C" w14:textId="77777777" w:rsidR="006411B2" w:rsidRPr="006411B2" w:rsidRDefault="006411B2" w:rsidP="006411B2">
            <w:pPr>
              <w:spacing w:line="276" w:lineRule="auto"/>
              <w:jc w:val="center"/>
              <w:rPr>
                <w:sz w:val="18"/>
                <w:szCs w:val="18"/>
              </w:rPr>
            </w:pPr>
            <w:r w:rsidRPr="006411B2">
              <w:rPr>
                <w:sz w:val="18"/>
                <w:szCs w:val="18"/>
              </w:rPr>
              <w:t>Mesopore volume</w:t>
            </w:r>
          </w:p>
          <w:p w14:paraId="0AD6ED7B" w14:textId="77777777" w:rsidR="006411B2" w:rsidRPr="006411B2" w:rsidRDefault="006411B2" w:rsidP="006411B2">
            <w:pPr>
              <w:spacing w:line="276" w:lineRule="auto"/>
              <w:jc w:val="center"/>
              <w:rPr>
                <w:sz w:val="18"/>
                <w:szCs w:val="18"/>
              </w:rPr>
            </w:pPr>
            <w:r w:rsidRPr="006411B2">
              <w:rPr>
                <w:sz w:val="18"/>
                <w:szCs w:val="18"/>
              </w:rPr>
              <w:t>/cm</w:t>
            </w:r>
            <w:r w:rsidRPr="006411B2">
              <w:rPr>
                <w:sz w:val="18"/>
                <w:szCs w:val="18"/>
                <w:vertAlign w:val="superscript"/>
              </w:rPr>
              <w:t>3</w:t>
            </w:r>
            <w:r w:rsidRPr="006411B2">
              <w:rPr>
                <w:sz w:val="18"/>
                <w:szCs w:val="18"/>
              </w:rPr>
              <w:t>.g</w:t>
            </w:r>
            <w:r w:rsidRPr="006411B2">
              <w:rPr>
                <w:sz w:val="18"/>
                <w:szCs w:val="18"/>
                <w:vertAlign w:val="superscript"/>
              </w:rPr>
              <w:t>-1</w:t>
            </w:r>
          </w:p>
        </w:tc>
        <w:tc>
          <w:tcPr>
            <w:tcW w:w="1083" w:type="dxa"/>
            <w:tcBorders>
              <w:top w:val="single" w:sz="4" w:space="0" w:color="auto"/>
              <w:bottom w:val="single" w:sz="4" w:space="0" w:color="auto"/>
            </w:tcBorders>
          </w:tcPr>
          <w:p w14:paraId="726143B3" w14:textId="77777777" w:rsidR="006411B2" w:rsidRPr="006411B2" w:rsidRDefault="006411B2" w:rsidP="006411B2">
            <w:pPr>
              <w:spacing w:line="276" w:lineRule="auto"/>
              <w:jc w:val="center"/>
              <w:rPr>
                <w:sz w:val="18"/>
                <w:szCs w:val="18"/>
              </w:rPr>
            </w:pPr>
            <w:r w:rsidRPr="006411B2">
              <w:rPr>
                <w:sz w:val="18"/>
                <w:szCs w:val="18"/>
              </w:rPr>
              <w:t>Pore width</w:t>
            </w:r>
          </w:p>
          <w:p w14:paraId="186F16D3" w14:textId="77777777" w:rsidR="006411B2" w:rsidRPr="006411B2" w:rsidRDefault="006411B2" w:rsidP="006411B2">
            <w:pPr>
              <w:spacing w:line="276" w:lineRule="auto"/>
              <w:jc w:val="center"/>
              <w:rPr>
                <w:sz w:val="18"/>
                <w:szCs w:val="18"/>
              </w:rPr>
            </w:pPr>
            <w:r w:rsidRPr="006411B2">
              <w:rPr>
                <w:sz w:val="18"/>
                <w:szCs w:val="18"/>
              </w:rPr>
              <w:t>/</w:t>
            </w:r>
            <w:r w:rsidRPr="006411B2">
              <w:rPr>
                <w:rFonts w:cs="Times New Roman"/>
                <w:sz w:val="18"/>
                <w:szCs w:val="18"/>
              </w:rPr>
              <w:t>Å</w:t>
            </w:r>
          </w:p>
        </w:tc>
      </w:tr>
      <w:tr w:rsidR="006411B2" w:rsidRPr="006411B2" w14:paraId="55E923B4" w14:textId="77777777" w:rsidTr="006411B2">
        <w:trPr>
          <w:jc w:val="center"/>
        </w:trPr>
        <w:tc>
          <w:tcPr>
            <w:tcW w:w="1696" w:type="dxa"/>
            <w:tcBorders>
              <w:top w:val="single" w:sz="4" w:space="0" w:color="auto"/>
            </w:tcBorders>
          </w:tcPr>
          <w:p w14:paraId="2F122285" w14:textId="34FAC23F" w:rsidR="006411B2" w:rsidRPr="006411B2" w:rsidRDefault="00E743C3" w:rsidP="006411B2">
            <w:pPr>
              <w:spacing w:line="276" w:lineRule="auto"/>
              <w:rPr>
                <w:sz w:val="18"/>
                <w:szCs w:val="18"/>
              </w:rPr>
            </w:pPr>
            <w:r>
              <w:rPr>
                <w:sz w:val="18"/>
                <w:szCs w:val="18"/>
              </w:rPr>
              <w:t>MP</w:t>
            </w:r>
            <w:r w:rsidR="006411B2" w:rsidRPr="006411B2">
              <w:rPr>
                <w:sz w:val="18"/>
                <w:szCs w:val="18"/>
              </w:rPr>
              <w:t>-SAPO-5</w:t>
            </w:r>
          </w:p>
        </w:tc>
        <w:tc>
          <w:tcPr>
            <w:tcW w:w="1134" w:type="dxa"/>
            <w:tcBorders>
              <w:top w:val="single" w:sz="4" w:space="0" w:color="auto"/>
            </w:tcBorders>
          </w:tcPr>
          <w:p w14:paraId="65C30262" w14:textId="77777777" w:rsidR="006411B2" w:rsidRPr="006411B2" w:rsidRDefault="006411B2" w:rsidP="006411B2">
            <w:pPr>
              <w:spacing w:line="276" w:lineRule="auto"/>
              <w:jc w:val="center"/>
              <w:rPr>
                <w:sz w:val="18"/>
                <w:szCs w:val="18"/>
              </w:rPr>
            </w:pPr>
            <w:r w:rsidRPr="006411B2">
              <w:rPr>
                <w:sz w:val="18"/>
                <w:szCs w:val="18"/>
              </w:rPr>
              <w:t>254</w:t>
            </w:r>
          </w:p>
        </w:tc>
        <w:tc>
          <w:tcPr>
            <w:tcW w:w="1701" w:type="dxa"/>
            <w:tcBorders>
              <w:top w:val="single" w:sz="4" w:space="0" w:color="auto"/>
            </w:tcBorders>
          </w:tcPr>
          <w:p w14:paraId="053F610B" w14:textId="77777777" w:rsidR="006411B2" w:rsidRPr="006411B2" w:rsidRDefault="006411B2" w:rsidP="006411B2">
            <w:pPr>
              <w:spacing w:line="276" w:lineRule="auto"/>
              <w:jc w:val="center"/>
              <w:rPr>
                <w:sz w:val="18"/>
                <w:szCs w:val="18"/>
              </w:rPr>
            </w:pPr>
            <w:r w:rsidRPr="006411B2">
              <w:rPr>
                <w:sz w:val="18"/>
                <w:szCs w:val="18"/>
              </w:rPr>
              <w:t>0.15</w:t>
            </w:r>
          </w:p>
        </w:tc>
        <w:tc>
          <w:tcPr>
            <w:tcW w:w="1701" w:type="dxa"/>
            <w:tcBorders>
              <w:top w:val="single" w:sz="4" w:space="0" w:color="auto"/>
            </w:tcBorders>
          </w:tcPr>
          <w:p w14:paraId="6B7A84A3" w14:textId="77777777" w:rsidR="006411B2" w:rsidRPr="006411B2" w:rsidRDefault="006411B2" w:rsidP="006411B2">
            <w:pPr>
              <w:spacing w:line="276" w:lineRule="auto"/>
              <w:jc w:val="center"/>
              <w:rPr>
                <w:sz w:val="18"/>
                <w:szCs w:val="18"/>
              </w:rPr>
            </w:pPr>
            <w:r w:rsidRPr="006411B2">
              <w:rPr>
                <w:sz w:val="18"/>
                <w:szCs w:val="18"/>
              </w:rPr>
              <w:t>0.12</w:t>
            </w:r>
          </w:p>
        </w:tc>
        <w:tc>
          <w:tcPr>
            <w:tcW w:w="1701" w:type="dxa"/>
            <w:tcBorders>
              <w:top w:val="single" w:sz="4" w:space="0" w:color="auto"/>
            </w:tcBorders>
          </w:tcPr>
          <w:p w14:paraId="563F5068" w14:textId="77777777" w:rsidR="006411B2" w:rsidRPr="006411B2" w:rsidRDefault="006411B2" w:rsidP="006411B2">
            <w:pPr>
              <w:spacing w:line="276" w:lineRule="auto"/>
              <w:jc w:val="center"/>
              <w:rPr>
                <w:sz w:val="18"/>
                <w:szCs w:val="18"/>
              </w:rPr>
            </w:pPr>
            <w:r w:rsidRPr="006411B2">
              <w:rPr>
                <w:sz w:val="18"/>
                <w:szCs w:val="18"/>
              </w:rPr>
              <w:t>0.03</w:t>
            </w:r>
          </w:p>
        </w:tc>
        <w:tc>
          <w:tcPr>
            <w:tcW w:w="1083" w:type="dxa"/>
            <w:tcBorders>
              <w:top w:val="single" w:sz="4" w:space="0" w:color="auto"/>
            </w:tcBorders>
          </w:tcPr>
          <w:p w14:paraId="55FC94E6" w14:textId="77777777" w:rsidR="006411B2" w:rsidRPr="006411B2" w:rsidRDefault="006411B2" w:rsidP="006411B2">
            <w:pPr>
              <w:spacing w:line="276" w:lineRule="auto"/>
              <w:jc w:val="center"/>
              <w:rPr>
                <w:sz w:val="18"/>
                <w:szCs w:val="18"/>
              </w:rPr>
            </w:pPr>
            <w:r>
              <w:rPr>
                <w:sz w:val="18"/>
                <w:szCs w:val="18"/>
              </w:rPr>
              <w:t>-</w:t>
            </w:r>
          </w:p>
        </w:tc>
      </w:tr>
      <w:tr w:rsidR="006411B2" w:rsidRPr="006411B2" w14:paraId="1067F1CA" w14:textId="77777777" w:rsidTr="006411B2">
        <w:trPr>
          <w:jc w:val="center"/>
        </w:trPr>
        <w:tc>
          <w:tcPr>
            <w:tcW w:w="1696" w:type="dxa"/>
          </w:tcPr>
          <w:p w14:paraId="6C0B9CA9" w14:textId="12FAAC01" w:rsidR="006411B2" w:rsidRPr="006411B2" w:rsidRDefault="006411B2" w:rsidP="00E743C3">
            <w:pPr>
              <w:spacing w:line="276" w:lineRule="auto"/>
              <w:rPr>
                <w:sz w:val="18"/>
                <w:szCs w:val="18"/>
              </w:rPr>
            </w:pPr>
            <w:r w:rsidRPr="006411B2">
              <w:rPr>
                <w:sz w:val="18"/>
                <w:szCs w:val="18"/>
              </w:rPr>
              <w:t>Au/</w:t>
            </w:r>
            <w:r w:rsidR="00E743C3">
              <w:rPr>
                <w:sz w:val="18"/>
                <w:szCs w:val="18"/>
              </w:rPr>
              <w:t>MP</w:t>
            </w:r>
            <w:r w:rsidRPr="006411B2">
              <w:rPr>
                <w:sz w:val="18"/>
                <w:szCs w:val="18"/>
              </w:rPr>
              <w:t>-SAPO-5 AE</w:t>
            </w:r>
          </w:p>
        </w:tc>
        <w:tc>
          <w:tcPr>
            <w:tcW w:w="1134" w:type="dxa"/>
          </w:tcPr>
          <w:p w14:paraId="1485EB4B" w14:textId="77777777" w:rsidR="006411B2" w:rsidRPr="006411B2" w:rsidRDefault="006411B2" w:rsidP="006411B2">
            <w:pPr>
              <w:spacing w:line="276" w:lineRule="auto"/>
              <w:jc w:val="center"/>
              <w:rPr>
                <w:sz w:val="18"/>
                <w:szCs w:val="18"/>
              </w:rPr>
            </w:pPr>
            <w:r w:rsidRPr="006411B2">
              <w:rPr>
                <w:sz w:val="18"/>
                <w:szCs w:val="18"/>
              </w:rPr>
              <w:t>65</w:t>
            </w:r>
          </w:p>
        </w:tc>
        <w:tc>
          <w:tcPr>
            <w:tcW w:w="1701" w:type="dxa"/>
          </w:tcPr>
          <w:p w14:paraId="70A0654C" w14:textId="77777777" w:rsidR="006411B2" w:rsidRPr="006411B2" w:rsidRDefault="006411B2" w:rsidP="006411B2">
            <w:pPr>
              <w:spacing w:line="276" w:lineRule="auto"/>
              <w:jc w:val="center"/>
              <w:rPr>
                <w:sz w:val="18"/>
                <w:szCs w:val="18"/>
              </w:rPr>
            </w:pPr>
            <w:r w:rsidRPr="006411B2">
              <w:rPr>
                <w:sz w:val="18"/>
                <w:szCs w:val="18"/>
              </w:rPr>
              <w:t>0.05</w:t>
            </w:r>
          </w:p>
        </w:tc>
        <w:tc>
          <w:tcPr>
            <w:tcW w:w="1701" w:type="dxa"/>
          </w:tcPr>
          <w:p w14:paraId="545B18A2" w14:textId="77777777" w:rsidR="006411B2" w:rsidRPr="006411B2" w:rsidRDefault="006411B2" w:rsidP="006411B2">
            <w:pPr>
              <w:spacing w:line="276" w:lineRule="auto"/>
              <w:jc w:val="center"/>
              <w:rPr>
                <w:sz w:val="18"/>
                <w:szCs w:val="18"/>
              </w:rPr>
            </w:pPr>
            <w:r w:rsidRPr="006411B2">
              <w:rPr>
                <w:sz w:val="18"/>
                <w:szCs w:val="18"/>
              </w:rPr>
              <w:t>0.03</w:t>
            </w:r>
          </w:p>
        </w:tc>
        <w:tc>
          <w:tcPr>
            <w:tcW w:w="1701" w:type="dxa"/>
          </w:tcPr>
          <w:p w14:paraId="45CCDACA" w14:textId="77777777" w:rsidR="006411B2" w:rsidRPr="006411B2" w:rsidRDefault="006411B2" w:rsidP="006411B2">
            <w:pPr>
              <w:spacing w:line="276" w:lineRule="auto"/>
              <w:jc w:val="center"/>
              <w:rPr>
                <w:sz w:val="18"/>
                <w:szCs w:val="18"/>
              </w:rPr>
            </w:pPr>
            <w:r w:rsidRPr="006411B2">
              <w:rPr>
                <w:sz w:val="18"/>
                <w:szCs w:val="18"/>
              </w:rPr>
              <w:t>0.01</w:t>
            </w:r>
          </w:p>
        </w:tc>
        <w:tc>
          <w:tcPr>
            <w:tcW w:w="1083" w:type="dxa"/>
          </w:tcPr>
          <w:p w14:paraId="5EF24C5A" w14:textId="77777777" w:rsidR="006411B2" w:rsidRPr="006411B2" w:rsidRDefault="006411B2" w:rsidP="006411B2">
            <w:pPr>
              <w:spacing w:line="276" w:lineRule="auto"/>
              <w:jc w:val="center"/>
              <w:rPr>
                <w:sz w:val="18"/>
                <w:szCs w:val="18"/>
              </w:rPr>
            </w:pPr>
            <w:r>
              <w:rPr>
                <w:sz w:val="18"/>
                <w:szCs w:val="18"/>
              </w:rPr>
              <w:t>-</w:t>
            </w:r>
          </w:p>
        </w:tc>
      </w:tr>
      <w:tr w:rsidR="006411B2" w:rsidRPr="006411B2" w14:paraId="13D386CA" w14:textId="77777777" w:rsidTr="006411B2">
        <w:trPr>
          <w:jc w:val="center"/>
        </w:trPr>
        <w:tc>
          <w:tcPr>
            <w:tcW w:w="1696" w:type="dxa"/>
          </w:tcPr>
          <w:p w14:paraId="7EB384BB" w14:textId="35A54FEC" w:rsidR="006411B2" w:rsidRPr="006411B2" w:rsidRDefault="006411B2" w:rsidP="00E743C3">
            <w:pPr>
              <w:spacing w:line="276" w:lineRule="auto"/>
              <w:rPr>
                <w:sz w:val="18"/>
                <w:szCs w:val="18"/>
              </w:rPr>
            </w:pPr>
            <w:r w:rsidRPr="006411B2">
              <w:rPr>
                <w:sz w:val="18"/>
                <w:szCs w:val="18"/>
              </w:rPr>
              <w:t>Au/</w:t>
            </w:r>
            <w:r w:rsidR="00E743C3">
              <w:rPr>
                <w:sz w:val="18"/>
                <w:szCs w:val="18"/>
              </w:rPr>
              <w:t>MP</w:t>
            </w:r>
            <w:r w:rsidRPr="006411B2">
              <w:rPr>
                <w:sz w:val="18"/>
                <w:szCs w:val="18"/>
              </w:rPr>
              <w:t>-SAPO-5 WI</w:t>
            </w:r>
          </w:p>
        </w:tc>
        <w:tc>
          <w:tcPr>
            <w:tcW w:w="1134" w:type="dxa"/>
          </w:tcPr>
          <w:p w14:paraId="47F7FC89" w14:textId="77777777" w:rsidR="006411B2" w:rsidRPr="006411B2" w:rsidRDefault="006411B2" w:rsidP="006411B2">
            <w:pPr>
              <w:spacing w:line="276" w:lineRule="auto"/>
              <w:jc w:val="center"/>
              <w:rPr>
                <w:sz w:val="18"/>
                <w:szCs w:val="18"/>
              </w:rPr>
            </w:pPr>
            <w:r w:rsidRPr="006411B2">
              <w:rPr>
                <w:sz w:val="18"/>
                <w:szCs w:val="18"/>
              </w:rPr>
              <w:t>72</w:t>
            </w:r>
          </w:p>
        </w:tc>
        <w:tc>
          <w:tcPr>
            <w:tcW w:w="1701" w:type="dxa"/>
          </w:tcPr>
          <w:p w14:paraId="0F9FDE54" w14:textId="77777777" w:rsidR="006411B2" w:rsidRPr="006411B2" w:rsidRDefault="006411B2" w:rsidP="006411B2">
            <w:pPr>
              <w:spacing w:line="276" w:lineRule="auto"/>
              <w:jc w:val="center"/>
              <w:rPr>
                <w:sz w:val="18"/>
                <w:szCs w:val="18"/>
              </w:rPr>
            </w:pPr>
            <w:r w:rsidRPr="006411B2">
              <w:rPr>
                <w:sz w:val="18"/>
                <w:szCs w:val="18"/>
              </w:rPr>
              <w:t>0.05</w:t>
            </w:r>
          </w:p>
        </w:tc>
        <w:tc>
          <w:tcPr>
            <w:tcW w:w="1701" w:type="dxa"/>
          </w:tcPr>
          <w:p w14:paraId="0320E5BB" w14:textId="77777777" w:rsidR="006411B2" w:rsidRPr="006411B2" w:rsidRDefault="006411B2" w:rsidP="006411B2">
            <w:pPr>
              <w:spacing w:line="276" w:lineRule="auto"/>
              <w:jc w:val="center"/>
              <w:rPr>
                <w:sz w:val="18"/>
                <w:szCs w:val="18"/>
              </w:rPr>
            </w:pPr>
            <w:r w:rsidRPr="006411B2">
              <w:rPr>
                <w:sz w:val="18"/>
                <w:szCs w:val="18"/>
              </w:rPr>
              <w:t>0.03</w:t>
            </w:r>
          </w:p>
        </w:tc>
        <w:tc>
          <w:tcPr>
            <w:tcW w:w="1701" w:type="dxa"/>
          </w:tcPr>
          <w:p w14:paraId="2019E6AA" w14:textId="77777777" w:rsidR="006411B2" w:rsidRPr="006411B2" w:rsidRDefault="006411B2" w:rsidP="006411B2">
            <w:pPr>
              <w:spacing w:line="276" w:lineRule="auto"/>
              <w:jc w:val="center"/>
              <w:rPr>
                <w:sz w:val="18"/>
                <w:szCs w:val="18"/>
              </w:rPr>
            </w:pPr>
            <w:r w:rsidRPr="006411B2">
              <w:rPr>
                <w:sz w:val="18"/>
                <w:szCs w:val="18"/>
              </w:rPr>
              <w:t>0.02</w:t>
            </w:r>
          </w:p>
        </w:tc>
        <w:tc>
          <w:tcPr>
            <w:tcW w:w="1083" w:type="dxa"/>
          </w:tcPr>
          <w:p w14:paraId="1CB2D64A" w14:textId="77777777" w:rsidR="006411B2" w:rsidRPr="006411B2" w:rsidRDefault="006411B2" w:rsidP="006411B2">
            <w:pPr>
              <w:spacing w:line="276" w:lineRule="auto"/>
              <w:jc w:val="center"/>
              <w:rPr>
                <w:sz w:val="18"/>
                <w:szCs w:val="18"/>
              </w:rPr>
            </w:pPr>
            <w:r>
              <w:rPr>
                <w:sz w:val="18"/>
                <w:szCs w:val="18"/>
              </w:rPr>
              <w:t>-</w:t>
            </w:r>
          </w:p>
        </w:tc>
      </w:tr>
      <w:tr w:rsidR="006411B2" w:rsidRPr="006411B2" w14:paraId="03159192" w14:textId="77777777" w:rsidTr="006411B2">
        <w:trPr>
          <w:jc w:val="center"/>
        </w:trPr>
        <w:tc>
          <w:tcPr>
            <w:tcW w:w="1696" w:type="dxa"/>
          </w:tcPr>
          <w:p w14:paraId="34E6A5D0" w14:textId="21F7D4FF" w:rsidR="006411B2" w:rsidRPr="006411B2" w:rsidRDefault="006411B2" w:rsidP="00E743C3">
            <w:pPr>
              <w:spacing w:line="276" w:lineRule="auto"/>
              <w:rPr>
                <w:sz w:val="18"/>
                <w:szCs w:val="18"/>
              </w:rPr>
            </w:pPr>
            <w:r w:rsidRPr="006411B2">
              <w:rPr>
                <w:sz w:val="18"/>
                <w:szCs w:val="18"/>
              </w:rPr>
              <w:t>Au/</w:t>
            </w:r>
            <w:r w:rsidR="00E743C3">
              <w:rPr>
                <w:sz w:val="18"/>
                <w:szCs w:val="18"/>
              </w:rPr>
              <w:t>MP</w:t>
            </w:r>
            <w:r w:rsidRPr="006411B2">
              <w:rPr>
                <w:sz w:val="18"/>
                <w:szCs w:val="18"/>
              </w:rPr>
              <w:t>-SAPO-5</w:t>
            </w:r>
            <w:r w:rsidR="00FF4387">
              <w:rPr>
                <w:sz w:val="18"/>
                <w:szCs w:val="18"/>
              </w:rPr>
              <w:t xml:space="preserve"> IW</w:t>
            </w:r>
          </w:p>
        </w:tc>
        <w:tc>
          <w:tcPr>
            <w:tcW w:w="1134" w:type="dxa"/>
          </w:tcPr>
          <w:p w14:paraId="0F73D968" w14:textId="77777777" w:rsidR="006411B2" w:rsidRPr="006411B2" w:rsidRDefault="006411B2" w:rsidP="006411B2">
            <w:pPr>
              <w:spacing w:line="276" w:lineRule="auto"/>
              <w:jc w:val="center"/>
              <w:rPr>
                <w:sz w:val="18"/>
                <w:szCs w:val="18"/>
              </w:rPr>
            </w:pPr>
            <w:r w:rsidRPr="006411B2">
              <w:rPr>
                <w:sz w:val="18"/>
                <w:szCs w:val="18"/>
              </w:rPr>
              <w:t>20</w:t>
            </w:r>
          </w:p>
        </w:tc>
        <w:tc>
          <w:tcPr>
            <w:tcW w:w="1701" w:type="dxa"/>
          </w:tcPr>
          <w:p w14:paraId="6A683123" w14:textId="77777777" w:rsidR="006411B2" w:rsidRPr="006411B2" w:rsidRDefault="006411B2" w:rsidP="006411B2">
            <w:pPr>
              <w:spacing w:line="276" w:lineRule="auto"/>
              <w:jc w:val="center"/>
              <w:rPr>
                <w:sz w:val="18"/>
                <w:szCs w:val="18"/>
              </w:rPr>
            </w:pPr>
            <w:r w:rsidRPr="006411B2">
              <w:rPr>
                <w:sz w:val="18"/>
                <w:szCs w:val="18"/>
              </w:rPr>
              <w:t>0.02</w:t>
            </w:r>
          </w:p>
        </w:tc>
        <w:tc>
          <w:tcPr>
            <w:tcW w:w="1701" w:type="dxa"/>
          </w:tcPr>
          <w:p w14:paraId="3A31FB0F" w14:textId="77777777" w:rsidR="006411B2" w:rsidRPr="006411B2" w:rsidRDefault="006411B2" w:rsidP="006411B2">
            <w:pPr>
              <w:spacing w:line="276" w:lineRule="auto"/>
              <w:jc w:val="center"/>
              <w:rPr>
                <w:sz w:val="18"/>
                <w:szCs w:val="18"/>
              </w:rPr>
            </w:pPr>
            <w:r w:rsidRPr="006411B2">
              <w:rPr>
                <w:sz w:val="18"/>
                <w:szCs w:val="18"/>
              </w:rPr>
              <w:t>0.01</w:t>
            </w:r>
          </w:p>
        </w:tc>
        <w:tc>
          <w:tcPr>
            <w:tcW w:w="1701" w:type="dxa"/>
          </w:tcPr>
          <w:p w14:paraId="2A794525" w14:textId="77777777" w:rsidR="006411B2" w:rsidRPr="006411B2" w:rsidRDefault="006411B2" w:rsidP="006411B2">
            <w:pPr>
              <w:spacing w:line="276" w:lineRule="auto"/>
              <w:jc w:val="center"/>
              <w:rPr>
                <w:sz w:val="18"/>
                <w:szCs w:val="18"/>
              </w:rPr>
            </w:pPr>
            <w:r w:rsidRPr="006411B2">
              <w:rPr>
                <w:sz w:val="18"/>
                <w:szCs w:val="18"/>
              </w:rPr>
              <w:t>0.01</w:t>
            </w:r>
          </w:p>
        </w:tc>
        <w:tc>
          <w:tcPr>
            <w:tcW w:w="1083" w:type="dxa"/>
          </w:tcPr>
          <w:p w14:paraId="095E55FD" w14:textId="77777777" w:rsidR="006411B2" w:rsidRPr="006411B2" w:rsidRDefault="006411B2" w:rsidP="006411B2">
            <w:pPr>
              <w:spacing w:line="276" w:lineRule="auto"/>
              <w:jc w:val="center"/>
              <w:rPr>
                <w:sz w:val="18"/>
                <w:szCs w:val="18"/>
              </w:rPr>
            </w:pPr>
            <w:r>
              <w:rPr>
                <w:sz w:val="18"/>
                <w:szCs w:val="18"/>
              </w:rPr>
              <w:t>-</w:t>
            </w:r>
          </w:p>
        </w:tc>
      </w:tr>
      <w:tr w:rsidR="006411B2" w:rsidRPr="006411B2" w14:paraId="4BC34B1F" w14:textId="77777777" w:rsidTr="006411B2">
        <w:trPr>
          <w:jc w:val="center"/>
        </w:trPr>
        <w:tc>
          <w:tcPr>
            <w:tcW w:w="1696" w:type="dxa"/>
          </w:tcPr>
          <w:p w14:paraId="6D7E4C87" w14:textId="77777777" w:rsidR="006411B2" w:rsidRPr="006411B2" w:rsidRDefault="006411B2" w:rsidP="006411B2">
            <w:pPr>
              <w:spacing w:line="276" w:lineRule="auto"/>
              <w:rPr>
                <w:sz w:val="18"/>
                <w:szCs w:val="18"/>
              </w:rPr>
            </w:pPr>
          </w:p>
        </w:tc>
        <w:tc>
          <w:tcPr>
            <w:tcW w:w="1134" w:type="dxa"/>
          </w:tcPr>
          <w:p w14:paraId="214AC39E" w14:textId="77777777" w:rsidR="006411B2" w:rsidRPr="006411B2" w:rsidRDefault="006411B2" w:rsidP="006411B2">
            <w:pPr>
              <w:spacing w:line="276" w:lineRule="auto"/>
              <w:jc w:val="center"/>
              <w:rPr>
                <w:sz w:val="18"/>
                <w:szCs w:val="18"/>
              </w:rPr>
            </w:pPr>
          </w:p>
        </w:tc>
        <w:tc>
          <w:tcPr>
            <w:tcW w:w="1701" w:type="dxa"/>
          </w:tcPr>
          <w:p w14:paraId="4C3F5672" w14:textId="77777777" w:rsidR="006411B2" w:rsidRPr="006411B2" w:rsidRDefault="006411B2" w:rsidP="006411B2">
            <w:pPr>
              <w:spacing w:line="276" w:lineRule="auto"/>
              <w:jc w:val="center"/>
              <w:rPr>
                <w:sz w:val="18"/>
                <w:szCs w:val="18"/>
              </w:rPr>
            </w:pPr>
          </w:p>
        </w:tc>
        <w:tc>
          <w:tcPr>
            <w:tcW w:w="1701" w:type="dxa"/>
          </w:tcPr>
          <w:p w14:paraId="34E42948" w14:textId="77777777" w:rsidR="006411B2" w:rsidRPr="006411B2" w:rsidRDefault="006411B2" w:rsidP="006411B2">
            <w:pPr>
              <w:spacing w:line="276" w:lineRule="auto"/>
              <w:jc w:val="center"/>
              <w:rPr>
                <w:sz w:val="18"/>
                <w:szCs w:val="18"/>
              </w:rPr>
            </w:pPr>
          </w:p>
        </w:tc>
        <w:tc>
          <w:tcPr>
            <w:tcW w:w="1701" w:type="dxa"/>
          </w:tcPr>
          <w:p w14:paraId="30108F24" w14:textId="77777777" w:rsidR="006411B2" w:rsidRPr="006411B2" w:rsidRDefault="006411B2" w:rsidP="006411B2">
            <w:pPr>
              <w:spacing w:line="276" w:lineRule="auto"/>
              <w:jc w:val="center"/>
              <w:rPr>
                <w:sz w:val="18"/>
                <w:szCs w:val="18"/>
              </w:rPr>
            </w:pPr>
          </w:p>
        </w:tc>
        <w:tc>
          <w:tcPr>
            <w:tcW w:w="1083" w:type="dxa"/>
          </w:tcPr>
          <w:p w14:paraId="065025B5" w14:textId="77777777" w:rsidR="006411B2" w:rsidRPr="006411B2" w:rsidRDefault="006411B2" w:rsidP="006411B2">
            <w:pPr>
              <w:spacing w:line="276" w:lineRule="auto"/>
              <w:jc w:val="center"/>
              <w:rPr>
                <w:sz w:val="18"/>
                <w:szCs w:val="18"/>
              </w:rPr>
            </w:pPr>
          </w:p>
        </w:tc>
      </w:tr>
      <w:tr w:rsidR="006411B2" w:rsidRPr="006411B2" w14:paraId="5D25202B" w14:textId="77777777" w:rsidTr="006411B2">
        <w:trPr>
          <w:jc w:val="center"/>
        </w:trPr>
        <w:tc>
          <w:tcPr>
            <w:tcW w:w="1696" w:type="dxa"/>
          </w:tcPr>
          <w:p w14:paraId="1E25D136" w14:textId="77777777" w:rsidR="006411B2" w:rsidRPr="006411B2" w:rsidRDefault="006411B2" w:rsidP="006411B2">
            <w:pPr>
              <w:spacing w:line="276" w:lineRule="auto"/>
              <w:rPr>
                <w:sz w:val="18"/>
                <w:szCs w:val="18"/>
              </w:rPr>
            </w:pPr>
            <w:r w:rsidRPr="006411B2">
              <w:rPr>
                <w:sz w:val="18"/>
                <w:szCs w:val="18"/>
              </w:rPr>
              <w:t>HP-SAPO-5</w:t>
            </w:r>
          </w:p>
        </w:tc>
        <w:tc>
          <w:tcPr>
            <w:tcW w:w="1134" w:type="dxa"/>
          </w:tcPr>
          <w:p w14:paraId="2BD7BC24" w14:textId="77777777" w:rsidR="006411B2" w:rsidRPr="006411B2" w:rsidRDefault="006411B2" w:rsidP="006411B2">
            <w:pPr>
              <w:spacing w:line="276" w:lineRule="auto"/>
              <w:jc w:val="center"/>
              <w:rPr>
                <w:sz w:val="18"/>
                <w:szCs w:val="18"/>
              </w:rPr>
            </w:pPr>
            <w:r w:rsidRPr="006411B2">
              <w:rPr>
                <w:sz w:val="18"/>
                <w:szCs w:val="18"/>
              </w:rPr>
              <w:t>281</w:t>
            </w:r>
          </w:p>
        </w:tc>
        <w:tc>
          <w:tcPr>
            <w:tcW w:w="1701" w:type="dxa"/>
          </w:tcPr>
          <w:p w14:paraId="0E597B69" w14:textId="77777777" w:rsidR="006411B2" w:rsidRPr="006411B2" w:rsidRDefault="006411B2" w:rsidP="006411B2">
            <w:pPr>
              <w:spacing w:line="276" w:lineRule="auto"/>
              <w:jc w:val="center"/>
              <w:rPr>
                <w:sz w:val="18"/>
                <w:szCs w:val="18"/>
              </w:rPr>
            </w:pPr>
            <w:r w:rsidRPr="006411B2">
              <w:rPr>
                <w:sz w:val="18"/>
                <w:szCs w:val="18"/>
              </w:rPr>
              <w:t>0.24</w:t>
            </w:r>
          </w:p>
        </w:tc>
        <w:tc>
          <w:tcPr>
            <w:tcW w:w="1701" w:type="dxa"/>
          </w:tcPr>
          <w:p w14:paraId="19E025D1" w14:textId="77777777" w:rsidR="006411B2" w:rsidRPr="006411B2" w:rsidRDefault="006411B2" w:rsidP="006411B2">
            <w:pPr>
              <w:spacing w:line="276" w:lineRule="auto"/>
              <w:jc w:val="center"/>
              <w:rPr>
                <w:sz w:val="18"/>
                <w:szCs w:val="18"/>
              </w:rPr>
            </w:pPr>
            <w:r w:rsidRPr="006411B2">
              <w:rPr>
                <w:sz w:val="18"/>
                <w:szCs w:val="18"/>
              </w:rPr>
              <w:t>0.08</w:t>
            </w:r>
          </w:p>
        </w:tc>
        <w:tc>
          <w:tcPr>
            <w:tcW w:w="1701" w:type="dxa"/>
          </w:tcPr>
          <w:p w14:paraId="47177F05" w14:textId="77777777" w:rsidR="006411B2" w:rsidRPr="006411B2" w:rsidRDefault="006411B2" w:rsidP="006411B2">
            <w:pPr>
              <w:spacing w:line="276" w:lineRule="auto"/>
              <w:jc w:val="center"/>
              <w:rPr>
                <w:sz w:val="18"/>
                <w:szCs w:val="18"/>
              </w:rPr>
            </w:pPr>
            <w:r w:rsidRPr="006411B2">
              <w:rPr>
                <w:sz w:val="18"/>
                <w:szCs w:val="18"/>
              </w:rPr>
              <w:t>0.16</w:t>
            </w:r>
          </w:p>
        </w:tc>
        <w:tc>
          <w:tcPr>
            <w:tcW w:w="1083" w:type="dxa"/>
          </w:tcPr>
          <w:p w14:paraId="6B70B037" w14:textId="77777777" w:rsidR="006411B2" w:rsidRPr="006411B2" w:rsidRDefault="006411B2" w:rsidP="006411B2">
            <w:pPr>
              <w:spacing w:line="276" w:lineRule="auto"/>
              <w:jc w:val="center"/>
              <w:rPr>
                <w:sz w:val="18"/>
                <w:szCs w:val="18"/>
              </w:rPr>
            </w:pPr>
            <w:r>
              <w:rPr>
                <w:sz w:val="18"/>
                <w:szCs w:val="18"/>
              </w:rPr>
              <w:t>60</w:t>
            </w:r>
          </w:p>
        </w:tc>
      </w:tr>
      <w:tr w:rsidR="006411B2" w:rsidRPr="006411B2" w14:paraId="4E8BD661" w14:textId="77777777" w:rsidTr="006411B2">
        <w:trPr>
          <w:jc w:val="center"/>
        </w:trPr>
        <w:tc>
          <w:tcPr>
            <w:tcW w:w="1696" w:type="dxa"/>
          </w:tcPr>
          <w:p w14:paraId="74500AED" w14:textId="77777777" w:rsidR="006411B2" w:rsidRPr="006411B2" w:rsidRDefault="006411B2" w:rsidP="006411B2">
            <w:pPr>
              <w:spacing w:line="276" w:lineRule="auto"/>
              <w:rPr>
                <w:sz w:val="18"/>
                <w:szCs w:val="18"/>
              </w:rPr>
            </w:pPr>
            <w:r w:rsidRPr="006411B2">
              <w:rPr>
                <w:sz w:val="18"/>
                <w:szCs w:val="18"/>
              </w:rPr>
              <w:t>Au/HP-SAPO-5 AE</w:t>
            </w:r>
          </w:p>
        </w:tc>
        <w:tc>
          <w:tcPr>
            <w:tcW w:w="1134" w:type="dxa"/>
          </w:tcPr>
          <w:p w14:paraId="3DC02939" w14:textId="77777777" w:rsidR="006411B2" w:rsidRPr="006411B2" w:rsidRDefault="006411B2" w:rsidP="006411B2">
            <w:pPr>
              <w:spacing w:line="276" w:lineRule="auto"/>
              <w:jc w:val="center"/>
              <w:rPr>
                <w:sz w:val="18"/>
                <w:szCs w:val="18"/>
              </w:rPr>
            </w:pPr>
            <w:r w:rsidRPr="006411B2">
              <w:rPr>
                <w:sz w:val="18"/>
                <w:szCs w:val="18"/>
              </w:rPr>
              <w:t>119</w:t>
            </w:r>
          </w:p>
        </w:tc>
        <w:tc>
          <w:tcPr>
            <w:tcW w:w="1701" w:type="dxa"/>
          </w:tcPr>
          <w:p w14:paraId="0FFA44C1" w14:textId="77777777" w:rsidR="006411B2" w:rsidRPr="006411B2" w:rsidRDefault="006411B2" w:rsidP="006411B2">
            <w:pPr>
              <w:spacing w:line="276" w:lineRule="auto"/>
              <w:jc w:val="center"/>
              <w:rPr>
                <w:sz w:val="18"/>
                <w:szCs w:val="18"/>
              </w:rPr>
            </w:pPr>
            <w:r w:rsidRPr="006411B2">
              <w:rPr>
                <w:sz w:val="18"/>
                <w:szCs w:val="18"/>
              </w:rPr>
              <w:t>0.17</w:t>
            </w:r>
          </w:p>
        </w:tc>
        <w:tc>
          <w:tcPr>
            <w:tcW w:w="1701" w:type="dxa"/>
          </w:tcPr>
          <w:p w14:paraId="0F2C59D0" w14:textId="77777777" w:rsidR="006411B2" w:rsidRPr="006411B2" w:rsidRDefault="006411B2" w:rsidP="006411B2">
            <w:pPr>
              <w:spacing w:line="276" w:lineRule="auto"/>
              <w:jc w:val="center"/>
              <w:rPr>
                <w:sz w:val="18"/>
                <w:szCs w:val="18"/>
              </w:rPr>
            </w:pPr>
            <w:r w:rsidRPr="006411B2">
              <w:rPr>
                <w:sz w:val="18"/>
                <w:szCs w:val="18"/>
              </w:rPr>
              <w:t>0.01</w:t>
            </w:r>
          </w:p>
        </w:tc>
        <w:tc>
          <w:tcPr>
            <w:tcW w:w="1701" w:type="dxa"/>
          </w:tcPr>
          <w:p w14:paraId="337E2ECB" w14:textId="77777777" w:rsidR="006411B2" w:rsidRPr="006411B2" w:rsidRDefault="006411B2" w:rsidP="006411B2">
            <w:pPr>
              <w:spacing w:line="276" w:lineRule="auto"/>
              <w:jc w:val="center"/>
              <w:rPr>
                <w:sz w:val="18"/>
                <w:szCs w:val="18"/>
              </w:rPr>
            </w:pPr>
            <w:r w:rsidRPr="006411B2">
              <w:rPr>
                <w:sz w:val="18"/>
                <w:szCs w:val="18"/>
              </w:rPr>
              <w:t>0.16</w:t>
            </w:r>
          </w:p>
        </w:tc>
        <w:tc>
          <w:tcPr>
            <w:tcW w:w="1083" w:type="dxa"/>
          </w:tcPr>
          <w:p w14:paraId="0AD5FE5C" w14:textId="77777777" w:rsidR="006411B2" w:rsidRPr="006411B2" w:rsidRDefault="006411B2" w:rsidP="006411B2">
            <w:pPr>
              <w:spacing w:line="276" w:lineRule="auto"/>
              <w:jc w:val="center"/>
              <w:rPr>
                <w:sz w:val="18"/>
                <w:szCs w:val="18"/>
              </w:rPr>
            </w:pPr>
            <w:r>
              <w:rPr>
                <w:sz w:val="18"/>
                <w:szCs w:val="18"/>
              </w:rPr>
              <w:t>77</w:t>
            </w:r>
          </w:p>
        </w:tc>
      </w:tr>
      <w:tr w:rsidR="006411B2" w:rsidRPr="006411B2" w14:paraId="7177C447" w14:textId="77777777" w:rsidTr="006411B2">
        <w:trPr>
          <w:jc w:val="center"/>
        </w:trPr>
        <w:tc>
          <w:tcPr>
            <w:tcW w:w="1696" w:type="dxa"/>
          </w:tcPr>
          <w:p w14:paraId="65AC219A" w14:textId="77777777" w:rsidR="006411B2" w:rsidRPr="006411B2" w:rsidRDefault="006411B2" w:rsidP="006411B2">
            <w:pPr>
              <w:spacing w:line="276" w:lineRule="auto"/>
              <w:rPr>
                <w:sz w:val="18"/>
                <w:szCs w:val="18"/>
              </w:rPr>
            </w:pPr>
            <w:r w:rsidRPr="006411B2">
              <w:rPr>
                <w:sz w:val="18"/>
                <w:szCs w:val="18"/>
              </w:rPr>
              <w:t>Au/HP-SAPO-5 WI</w:t>
            </w:r>
          </w:p>
        </w:tc>
        <w:tc>
          <w:tcPr>
            <w:tcW w:w="1134" w:type="dxa"/>
          </w:tcPr>
          <w:p w14:paraId="1791ED09" w14:textId="77777777" w:rsidR="006411B2" w:rsidRPr="006411B2" w:rsidRDefault="006411B2" w:rsidP="006411B2">
            <w:pPr>
              <w:spacing w:line="276" w:lineRule="auto"/>
              <w:jc w:val="center"/>
              <w:rPr>
                <w:sz w:val="18"/>
                <w:szCs w:val="18"/>
              </w:rPr>
            </w:pPr>
            <w:r w:rsidRPr="006411B2">
              <w:rPr>
                <w:sz w:val="18"/>
                <w:szCs w:val="18"/>
              </w:rPr>
              <w:t>173</w:t>
            </w:r>
          </w:p>
        </w:tc>
        <w:tc>
          <w:tcPr>
            <w:tcW w:w="1701" w:type="dxa"/>
          </w:tcPr>
          <w:p w14:paraId="543F2ED0" w14:textId="77777777" w:rsidR="006411B2" w:rsidRPr="006411B2" w:rsidRDefault="006411B2" w:rsidP="006411B2">
            <w:pPr>
              <w:spacing w:line="276" w:lineRule="auto"/>
              <w:jc w:val="center"/>
              <w:rPr>
                <w:sz w:val="18"/>
                <w:szCs w:val="18"/>
              </w:rPr>
            </w:pPr>
            <w:r w:rsidRPr="006411B2">
              <w:rPr>
                <w:sz w:val="18"/>
                <w:szCs w:val="18"/>
              </w:rPr>
              <w:t>0.20</w:t>
            </w:r>
          </w:p>
        </w:tc>
        <w:tc>
          <w:tcPr>
            <w:tcW w:w="1701" w:type="dxa"/>
          </w:tcPr>
          <w:p w14:paraId="16F3B26A" w14:textId="77777777" w:rsidR="006411B2" w:rsidRPr="006411B2" w:rsidRDefault="006411B2" w:rsidP="006411B2">
            <w:pPr>
              <w:spacing w:line="276" w:lineRule="auto"/>
              <w:jc w:val="center"/>
              <w:rPr>
                <w:sz w:val="18"/>
                <w:szCs w:val="18"/>
              </w:rPr>
            </w:pPr>
            <w:r w:rsidRPr="006411B2">
              <w:rPr>
                <w:sz w:val="18"/>
                <w:szCs w:val="18"/>
              </w:rPr>
              <w:t>0.04</w:t>
            </w:r>
          </w:p>
        </w:tc>
        <w:tc>
          <w:tcPr>
            <w:tcW w:w="1701" w:type="dxa"/>
          </w:tcPr>
          <w:p w14:paraId="1E103F9C" w14:textId="77777777" w:rsidR="006411B2" w:rsidRPr="006411B2" w:rsidRDefault="006411B2" w:rsidP="006411B2">
            <w:pPr>
              <w:spacing w:line="276" w:lineRule="auto"/>
              <w:jc w:val="center"/>
              <w:rPr>
                <w:sz w:val="18"/>
                <w:szCs w:val="18"/>
              </w:rPr>
            </w:pPr>
            <w:r w:rsidRPr="006411B2">
              <w:rPr>
                <w:sz w:val="18"/>
                <w:szCs w:val="18"/>
              </w:rPr>
              <w:t>0.16</w:t>
            </w:r>
          </w:p>
        </w:tc>
        <w:tc>
          <w:tcPr>
            <w:tcW w:w="1083" w:type="dxa"/>
          </w:tcPr>
          <w:p w14:paraId="706518DD" w14:textId="77777777" w:rsidR="006411B2" w:rsidRPr="006411B2" w:rsidRDefault="006411B2" w:rsidP="006411B2">
            <w:pPr>
              <w:spacing w:line="276" w:lineRule="auto"/>
              <w:jc w:val="center"/>
              <w:rPr>
                <w:sz w:val="18"/>
                <w:szCs w:val="18"/>
              </w:rPr>
            </w:pPr>
            <w:r>
              <w:rPr>
                <w:sz w:val="18"/>
                <w:szCs w:val="18"/>
              </w:rPr>
              <w:t>68</w:t>
            </w:r>
          </w:p>
        </w:tc>
      </w:tr>
      <w:tr w:rsidR="006411B2" w:rsidRPr="006411B2" w14:paraId="6FFA7740" w14:textId="77777777" w:rsidTr="006411B2">
        <w:trPr>
          <w:jc w:val="center"/>
        </w:trPr>
        <w:tc>
          <w:tcPr>
            <w:tcW w:w="1696" w:type="dxa"/>
            <w:tcBorders>
              <w:bottom w:val="single" w:sz="4" w:space="0" w:color="auto"/>
            </w:tcBorders>
          </w:tcPr>
          <w:p w14:paraId="1AB1CA83" w14:textId="77777777" w:rsidR="006411B2" w:rsidRPr="006411B2" w:rsidRDefault="006411B2" w:rsidP="006411B2">
            <w:pPr>
              <w:spacing w:line="276" w:lineRule="auto"/>
              <w:rPr>
                <w:sz w:val="18"/>
                <w:szCs w:val="18"/>
              </w:rPr>
            </w:pPr>
            <w:r w:rsidRPr="006411B2">
              <w:rPr>
                <w:sz w:val="18"/>
                <w:szCs w:val="18"/>
              </w:rPr>
              <w:t>Au/HP-SAPO-5</w:t>
            </w:r>
            <w:r w:rsidR="00FF4387">
              <w:rPr>
                <w:sz w:val="18"/>
                <w:szCs w:val="18"/>
              </w:rPr>
              <w:t xml:space="preserve"> IW</w:t>
            </w:r>
          </w:p>
        </w:tc>
        <w:tc>
          <w:tcPr>
            <w:tcW w:w="1134" w:type="dxa"/>
            <w:tcBorders>
              <w:bottom w:val="single" w:sz="4" w:space="0" w:color="auto"/>
            </w:tcBorders>
          </w:tcPr>
          <w:p w14:paraId="31B2BAAA" w14:textId="77777777" w:rsidR="006411B2" w:rsidRPr="006411B2" w:rsidRDefault="006411B2" w:rsidP="006411B2">
            <w:pPr>
              <w:spacing w:line="276" w:lineRule="auto"/>
              <w:jc w:val="center"/>
              <w:rPr>
                <w:sz w:val="18"/>
                <w:szCs w:val="18"/>
              </w:rPr>
            </w:pPr>
            <w:r w:rsidRPr="006411B2">
              <w:rPr>
                <w:sz w:val="18"/>
                <w:szCs w:val="18"/>
              </w:rPr>
              <w:t>114</w:t>
            </w:r>
          </w:p>
        </w:tc>
        <w:tc>
          <w:tcPr>
            <w:tcW w:w="1701" w:type="dxa"/>
            <w:tcBorders>
              <w:bottom w:val="single" w:sz="4" w:space="0" w:color="auto"/>
            </w:tcBorders>
          </w:tcPr>
          <w:p w14:paraId="30AFD2A4" w14:textId="77777777" w:rsidR="006411B2" w:rsidRPr="006411B2" w:rsidRDefault="006411B2" w:rsidP="006411B2">
            <w:pPr>
              <w:spacing w:line="276" w:lineRule="auto"/>
              <w:jc w:val="center"/>
              <w:rPr>
                <w:sz w:val="18"/>
                <w:szCs w:val="18"/>
              </w:rPr>
            </w:pPr>
            <w:r w:rsidRPr="006411B2">
              <w:rPr>
                <w:sz w:val="18"/>
                <w:szCs w:val="18"/>
              </w:rPr>
              <w:t>0.14</w:t>
            </w:r>
          </w:p>
        </w:tc>
        <w:tc>
          <w:tcPr>
            <w:tcW w:w="1701" w:type="dxa"/>
            <w:tcBorders>
              <w:bottom w:val="single" w:sz="4" w:space="0" w:color="auto"/>
            </w:tcBorders>
          </w:tcPr>
          <w:p w14:paraId="6430B0F9" w14:textId="77777777" w:rsidR="006411B2" w:rsidRPr="006411B2" w:rsidRDefault="006411B2" w:rsidP="006411B2">
            <w:pPr>
              <w:spacing w:line="276" w:lineRule="auto"/>
              <w:jc w:val="center"/>
              <w:rPr>
                <w:sz w:val="18"/>
                <w:szCs w:val="18"/>
              </w:rPr>
            </w:pPr>
            <w:r w:rsidRPr="006411B2">
              <w:rPr>
                <w:sz w:val="18"/>
                <w:szCs w:val="18"/>
              </w:rPr>
              <w:t>0.02</w:t>
            </w:r>
          </w:p>
        </w:tc>
        <w:tc>
          <w:tcPr>
            <w:tcW w:w="1701" w:type="dxa"/>
            <w:tcBorders>
              <w:bottom w:val="single" w:sz="4" w:space="0" w:color="auto"/>
            </w:tcBorders>
          </w:tcPr>
          <w:p w14:paraId="3B0220AA" w14:textId="77777777" w:rsidR="006411B2" w:rsidRPr="006411B2" w:rsidRDefault="006411B2" w:rsidP="006411B2">
            <w:pPr>
              <w:spacing w:line="276" w:lineRule="auto"/>
              <w:jc w:val="center"/>
              <w:rPr>
                <w:sz w:val="18"/>
                <w:szCs w:val="18"/>
              </w:rPr>
            </w:pPr>
            <w:r w:rsidRPr="006411B2">
              <w:rPr>
                <w:sz w:val="18"/>
                <w:szCs w:val="18"/>
              </w:rPr>
              <w:t>0.11</w:t>
            </w:r>
          </w:p>
        </w:tc>
        <w:tc>
          <w:tcPr>
            <w:tcW w:w="1083" w:type="dxa"/>
            <w:tcBorders>
              <w:bottom w:val="single" w:sz="4" w:space="0" w:color="auto"/>
            </w:tcBorders>
          </w:tcPr>
          <w:p w14:paraId="5BABFC4A" w14:textId="77777777" w:rsidR="006411B2" w:rsidRPr="006411B2" w:rsidRDefault="006411B2" w:rsidP="006411B2">
            <w:pPr>
              <w:spacing w:line="276" w:lineRule="auto"/>
              <w:jc w:val="center"/>
              <w:rPr>
                <w:sz w:val="18"/>
                <w:szCs w:val="18"/>
              </w:rPr>
            </w:pPr>
            <w:r>
              <w:rPr>
                <w:sz w:val="18"/>
                <w:szCs w:val="18"/>
              </w:rPr>
              <w:t>76</w:t>
            </w:r>
          </w:p>
        </w:tc>
      </w:tr>
    </w:tbl>
    <w:p w14:paraId="76BDC051" w14:textId="77777777" w:rsidR="002330F8" w:rsidRDefault="002330F8" w:rsidP="00223981">
      <w:pPr>
        <w:spacing w:after="0" w:line="276" w:lineRule="auto"/>
      </w:pPr>
    </w:p>
    <w:p w14:paraId="6887DD2F" w14:textId="77777777" w:rsidR="00006CCC" w:rsidRDefault="00006CCC">
      <w:r>
        <w:br w:type="page"/>
      </w:r>
    </w:p>
    <w:p w14:paraId="3F3D345C" w14:textId="77777777" w:rsidR="00006CCC" w:rsidRDefault="000F3DBE" w:rsidP="00223981">
      <w:pPr>
        <w:spacing w:after="0" w:line="276" w:lineRule="auto"/>
        <w:rPr>
          <w:b/>
        </w:rPr>
      </w:pPr>
      <w:r>
        <w:rPr>
          <w:b/>
        </w:rPr>
        <w:lastRenderedPageBreak/>
        <w:t>Probing the g</w:t>
      </w:r>
      <w:r w:rsidR="00006CCC">
        <w:rPr>
          <w:b/>
        </w:rPr>
        <w:t>old species on deposited systems</w:t>
      </w:r>
      <w:r w:rsidR="00D254FC">
        <w:rPr>
          <w:b/>
        </w:rPr>
        <w:t xml:space="preserve"> with UV/Vis spectroscopy</w:t>
      </w:r>
    </w:p>
    <w:p w14:paraId="2A0E708F" w14:textId="77777777" w:rsidR="00006CCC" w:rsidRDefault="00006CCC" w:rsidP="00223981">
      <w:pPr>
        <w:spacing w:after="0" w:line="276" w:lineRule="auto"/>
      </w:pPr>
    </w:p>
    <w:p w14:paraId="0700EE34" w14:textId="193F3051" w:rsidR="002C5EAE" w:rsidRDefault="007A70FD" w:rsidP="000756B6">
      <w:pPr>
        <w:spacing w:after="0" w:line="276" w:lineRule="auto"/>
        <w:jc w:val="center"/>
      </w:pPr>
      <w:r>
        <w:rPr>
          <w:noProof/>
          <w:lang w:eastAsia="en-GB"/>
        </w:rPr>
        <w:drawing>
          <wp:inline distT="0" distB="0" distL="0" distR="0" wp14:anchorId="67CDC20C" wp14:editId="214D98FA">
            <wp:extent cx="5010150" cy="32648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0658" cy="3278175"/>
                    </a:xfrm>
                    <a:prstGeom prst="rect">
                      <a:avLst/>
                    </a:prstGeom>
                    <a:noFill/>
                  </pic:spPr>
                </pic:pic>
              </a:graphicData>
            </a:graphic>
          </wp:inline>
        </w:drawing>
      </w:r>
    </w:p>
    <w:p w14:paraId="49BEE29C" w14:textId="77777777" w:rsidR="002C5EAE" w:rsidRDefault="002C5EAE" w:rsidP="002C5EAE">
      <w:pPr>
        <w:spacing w:after="0" w:line="276" w:lineRule="auto"/>
      </w:pPr>
      <w:r>
        <w:t>Figure S</w:t>
      </w:r>
      <w:r w:rsidR="00B27A94">
        <w:t>8</w:t>
      </w:r>
      <w:r>
        <w:t>: UV/Vis spectra of Au deposited on microporous SAPO-5 systems.</w:t>
      </w:r>
      <w:r w:rsidR="00D254FC">
        <w:t xml:space="preserve"> Plots are stacked for clarity.</w:t>
      </w:r>
    </w:p>
    <w:p w14:paraId="3B084A79" w14:textId="77777777" w:rsidR="002C5EAE" w:rsidRDefault="002C5EAE" w:rsidP="002C5EAE">
      <w:pPr>
        <w:spacing w:after="0" w:line="276" w:lineRule="auto"/>
      </w:pPr>
    </w:p>
    <w:p w14:paraId="481DC897" w14:textId="77777777" w:rsidR="00686CE4" w:rsidRDefault="00686CE4" w:rsidP="002C5EAE">
      <w:pPr>
        <w:spacing w:after="0" w:line="276" w:lineRule="auto"/>
      </w:pPr>
    </w:p>
    <w:p w14:paraId="39A53162" w14:textId="77777777" w:rsidR="002C5EAE" w:rsidRDefault="002C5EAE" w:rsidP="002C5EAE">
      <w:pPr>
        <w:spacing w:after="0" w:line="276" w:lineRule="auto"/>
      </w:pPr>
    </w:p>
    <w:p w14:paraId="11643EFE" w14:textId="77777777" w:rsidR="006F5B3F" w:rsidRDefault="006F5B3F" w:rsidP="002C5EAE">
      <w:pPr>
        <w:spacing w:after="0" w:line="276" w:lineRule="auto"/>
      </w:pPr>
    </w:p>
    <w:p w14:paraId="4DD14733" w14:textId="77777777" w:rsidR="002C5EAE" w:rsidRDefault="00E7750A" w:rsidP="002C5EAE">
      <w:pPr>
        <w:spacing w:after="0" w:line="276" w:lineRule="auto"/>
        <w:jc w:val="center"/>
      </w:pPr>
      <w:r w:rsidRPr="00E7750A">
        <w:rPr>
          <w:noProof/>
          <w:lang w:eastAsia="en-GB"/>
        </w:rPr>
        <w:drawing>
          <wp:inline distT="0" distB="0" distL="0" distR="0" wp14:anchorId="09AD2B48" wp14:editId="53620E78">
            <wp:extent cx="4879075" cy="317902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8648" cy="3191774"/>
                    </a:xfrm>
                    <a:prstGeom prst="rect">
                      <a:avLst/>
                    </a:prstGeom>
                  </pic:spPr>
                </pic:pic>
              </a:graphicData>
            </a:graphic>
          </wp:inline>
        </w:drawing>
      </w:r>
    </w:p>
    <w:p w14:paraId="70A560D1" w14:textId="77777777" w:rsidR="002C5EAE" w:rsidRDefault="002C5EAE" w:rsidP="002C5EAE">
      <w:pPr>
        <w:spacing w:after="0" w:line="276" w:lineRule="auto"/>
      </w:pPr>
      <w:r>
        <w:t xml:space="preserve">Figure </w:t>
      </w:r>
      <w:r w:rsidR="00B27A94">
        <w:t>S9</w:t>
      </w:r>
      <w:r>
        <w:t>: UV/Vis spectra of Au deposited on hierarchical SAPO-5 systems.</w:t>
      </w:r>
      <w:r w:rsidR="00D254FC">
        <w:t xml:space="preserve"> Plots are stacked for clarity.</w:t>
      </w:r>
    </w:p>
    <w:p w14:paraId="13802458" w14:textId="77777777" w:rsidR="00D254FC" w:rsidRDefault="00D254FC">
      <w:r>
        <w:br w:type="page"/>
      </w:r>
    </w:p>
    <w:p w14:paraId="35FF0588" w14:textId="77777777" w:rsidR="00D254FC" w:rsidRPr="003028B1" w:rsidRDefault="003028B1" w:rsidP="002C5EAE">
      <w:pPr>
        <w:spacing w:after="0" w:line="276" w:lineRule="auto"/>
        <w:rPr>
          <w:b/>
        </w:rPr>
      </w:pPr>
      <w:r w:rsidRPr="003028B1">
        <w:rPr>
          <w:b/>
        </w:rPr>
        <w:lastRenderedPageBreak/>
        <w:t>Probing the gold species on deposited systems with XAS spectroscopy</w:t>
      </w:r>
    </w:p>
    <w:p w14:paraId="138409C7" w14:textId="77777777" w:rsidR="003028B1" w:rsidRDefault="003028B1" w:rsidP="002C5EAE">
      <w:pPr>
        <w:spacing w:after="0" w:line="276" w:lineRule="auto"/>
        <w:rPr>
          <w:b/>
        </w:rPr>
      </w:pPr>
    </w:p>
    <w:p w14:paraId="4B77C2D3" w14:textId="56DB1E98" w:rsidR="00D254FC" w:rsidRDefault="00807D35" w:rsidP="000756B6">
      <w:pPr>
        <w:spacing w:after="0" w:line="276" w:lineRule="auto"/>
        <w:jc w:val="center"/>
        <w:rPr>
          <w:b/>
        </w:rPr>
      </w:pPr>
      <w:r>
        <w:rPr>
          <w:b/>
          <w:noProof/>
          <w:lang w:eastAsia="en-GB"/>
        </w:rPr>
        <w:drawing>
          <wp:inline distT="0" distB="0" distL="0" distR="0" wp14:anchorId="069830D0" wp14:editId="0435C353">
            <wp:extent cx="5040630" cy="328323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54760" cy="3292436"/>
                    </a:xfrm>
                    <a:prstGeom prst="rect">
                      <a:avLst/>
                    </a:prstGeom>
                    <a:noFill/>
                  </pic:spPr>
                </pic:pic>
              </a:graphicData>
            </a:graphic>
          </wp:inline>
        </w:drawing>
      </w:r>
    </w:p>
    <w:p w14:paraId="4C7A06F2" w14:textId="3BB30052" w:rsidR="00D254FC" w:rsidRDefault="00B27A94" w:rsidP="00D254FC">
      <w:pPr>
        <w:spacing w:after="0" w:line="276" w:lineRule="auto"/>
      </w:pPr>
      <w:r>
        <w:t>Figure S10</w:t>
      </w:r>
      <w:r w:rsidR="00D254FC">
        <w:t>: Normalised Mu(E) EXAFS plots in the Au L</w:t>
      </w:r>
      <w:r w:rsidR="00D254FC">
        <w:rPr>
          <w:vertAlign w:val="subscript"/>
        </w:rPr>
        <w:t>3</w:t>
      </w:r>
      <w:r w:rsidR="00D254FC">
        <w:t xml:space="preserve"> region of Au deposited onto </w:t>
      </w:r>
      <w:r w:rsidR="00E743C3">
        <w:t>MP</w:t>
      </w:r>
      <w:r w:rsidR="00D254FC">
        <w:t xml:space="preserve">-SAPO-5, compared with the Au </w:t>
      </w:r>
      <w:r w:rsidR="00DC6C60">
        <w:t xml:space="preserve">reference </w:t>
      </w:r>
      <w:r w:rsidR="00D254FC">
        <w:t>foil.</w:t>
      </w:r>
    </w:p>
    <w:p w14:paraId="00695A25" w14:textId="77777777" w:rsidR="00D254FC" w:rsidRDefault="00D254FC" w:rsidP="00D254FC">
      <w:pPr>
        <w:spacing w:after="0" w:line="276" w:lineRule="auto"/>
      </w:pPr>
    </w:p>
    <w:p w14:paraId="64B3E3F4" w14:textId="77777777" w:rsidR="00686CE4" w:rsidRDefault="00686CE4" w:rsidP="00D254FC">
      <w:pPr>
        <w:spacing w:after="0" w:line="276" w:lineRule="auto"/>
      </w:pPr>
    </w:p>
    <w:p w14:paraId="643CEF6A" w14:textId="77777777" w:rsidR="00686CE4" w:rsidRDefault="00686CE4" w:rsidP="00D254FC">
      <w:pPr>
        <w:spacing w:after="0" w:line="276" w:lineRule="auto"/>
      </w:pPr>
    </w:p>
    <w:p w14:paraId="10B9B3B1" w14:textId="77777777" w:rsidR="00D254FC" w:rsidRDefault="00D254FC" w:rsidP="00D254FC">
      <w:pPr>
        <w:spacing w:after="0" w:line="276" w:lineRule="auto"/>
      </w:pPr>
    </w:p>
    <w:p w14:paraId="3F2F3C48" w14:textId="28EA951C" w:rsidR="00D254FC" w:rsidRDefault="008B2903" w:rsidP="000756B6">
      <w:pPr>
        <w:spacing w:after="0" w:line="276" w:lineRule="auto"/>
        <w:jc w:val="center"/>
      </w:pPr>
      <w:r>
        <w:rPr>
          <w:noProof/>
          <w:lang w:eastAsia="en-GB"/>
        </w:rPr>
        <w:drawing>
          <wp:inline distT="0" distB="0" distL="0" distR="0" wp14:anchorId="6D77E146" wp14:editId="04A0482B">
            <wp:extent cx="5050155" cy="328943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1749" cy="3303502"/>
                    </a:xfrm>
                    <a:prstGeom prst="rect">
                      <a:avLst/>
                    </a:prstGeom>
                    <a:noFill/>
                  </pic:spPr>
                </pic:pic>
              </a:graphicData>
            </a:graphic>
          </wp:inline>
        </w:drawing>
      </w:r>
    </w:p>
    <w:p w14:paraId="12286BBA" w14:textId="5D2020C8" w:rsidR="00D254FC" w:rsidRDefault="00B27A94" w:rsidP="00D254FC">
      <w:pPr>
        <w:spacing w:after="0" w:line="276" w:lineRule="auto"/>
      </w:pPr>
      <w:r>
        <w:t>Figure S11</w:t>
      </w:r>
      <w:r w:rsidR="00D254FC">
        <w:t>: Normalised Mu(E) XANES plots in the Au L</w:t>
      </w:r>
      <w:r w:rsidR="00D254FC">
        <w:rPr>
          <w:vertAlign w:val="subscript"/>
        </w:rPr>
        <w:t>3</w:t>
      </w:r>
      <w:r w:rsidR="00D254FC">
        <w:t xml:space="preserve"> region of Au deposited onto </w:t>
      </w:r>
      <w:r w:rsidR="00E743C3">
        <w:t>MP</w:t>
      </w:r>
      <w:r w:rsidR="00D254FC">
        <w:t xml:space="preserve">-SAPO-5, compared with the Au </w:t>
      </w:r>
      <w:r w:rsidR="00DC6C60">
        <w:t xml:space="preserve">reference </w:t>
      </w:r>
      <w:r w:rsidR="00D254FC">
        <w:t>foil.</w:t>
      </w:r>
    </w:p>
    <w:p w14:paraId="33B982AE" w14:textId="77777777" w:rsidR="00922989" w:rsidRDefault="00922989" w:rsidP="00D254FC">
      <w:pPr>
        <w:spacing w:after="0" w:line="276" w:lineRule="auto"/>
      </w:pPr>
    </w:p>
    <w:p w14:paraId="6ED72B51" w14:textId="18B44135" w:rsidR="00922989" w:rsidRDefault="00F53919" w:rsidP="000756B6">
      <w:pPr>
        <w:spacing w:after="0" w:line="276" w:lineRule="auto"/>
        <w:jc w:val="center"/>
      </w:pPr>
      <w:r>
        <w:rPr>
          <w:noProof/>
          <w:lang w:eastAsia="en-GB"/>
        </w:rPr>
        <w:lastRenderedPageBreak/>
        <w:drawing>
          <wp:inline distT="0" distB="0" distL="0" distR="0" wp14:anchorId="1D4BE180" wp14:editId="3475E85A">
            <wp:extent cx="5042858" cy="32861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7753" cy="3289315"/>
                    </a:xfrm>
                    <a:prstGeom prst="rect">
                      <a:avLst/>
                    </a:prstGeom>
                    <a:noFill/>
                  </pic:spPr>
                </pic:pic>
              </a:graphicData>
            </a:graphic>
          </wp:inline>
        </w:drawing>
      </w:r>
    </w:p>
    <w:p w14:paraId="4FA5C806" w14:textId="34966E13" w:rsidR="00226BEF" w:rsidRDefault="00B27A94" w:rsidP="00226BEF">
      <w:pPr>
        <w:spacing w:after="0" w:line="276" w:lineRule="auto"/>
      </w:pPr>
      <w:r>
        <w:t>Figure S12</w:t>
      </w:r>
      <w:r w:rsidR="00922989">
        <w:t>: The magnitude of the k</w:t>
      </w:r>
      <w:r w:rsidR="00922989">
        <w:rPr>
          <w:vertAlign w:val="superscript"/>
        </w:rPr>
        <w:t>3</w:t>
      </w:r>
      <w:r w:rsidR="00922989">
        <w:t xml:space="preserve"> weighted Fourier Transform for the EXAFS data on </w:t>
      </w:r>
      <w:r w:rsidR="00226BEF">
        <w:t xml:space="preserve">Au deposited onto </w:t>
      </w:r>
      <w:r w:rsidR="00E743C3">
        <w:t>MP</w:t>
      </w:r>
      <w:r w:rsidR="00226BEF">
        <w:t xml:space="preserve">-SAPO-5, compared with the Au </w:t>
      </w:r>
      <w:r w:rsidR="00DC6C60">
        <w:t xml:space="preserve">reference </w:t>
      </w:r>
      <w:r w:rsidR="00226BEF">
        <w:t>foil.</w:t>
      </w:r>
    </w:p>
    <w:p w14:paraId="25F762ED" w14:textId="77777777" w:rsidR="00DC6C60" w:rsidRDefault="00DC6C60" w:rsidP="00226BEF">
      <w:pPr>
        <w:spacing w:after="0" w:line="276" w:lineRule="auto"/>
      </w:pPr>
    </w:p>
    <w:p w14:paraId="1E9AE249" w14:textId="77777777" w:rsidR="006F5B3F" w:rsidRDefault="006F5B3F" w:rsidP="00226BEF">
      <w:pPr>
        <w:spacing w:after="0" w:line="276" w:lineRule="auto"/>
      </w:pPr>
    </w:p>
    <w:p w14:paraId="36E7C93C" w14:textId="77777777" w:rsidR="00DC6C60" w:rsidRDefault="00DC6C60" w:rsidP="00226BEF">
      <w:pPr>
        <w:spacing w:after="0" w:line="276" w:lineRule="auto"/>
      </w:pPr>
    </w:p>
    <w:p w14:paraId="751FDDE8" w14:textId="77777777" w:rsidR="00686CE4" w:rsidRDefault="00686CE4" w:rsidP="00226BEF">
      <w:pPr>
        <w:spacing w:after="0" w:line="276" w:lineRule="auto"/>
      </w:pPr>
    </w:p>
    <w:p w14:paraId="629108B0" w14:textId="77777777" w:rsidR="00DC6C60" w:rsidRDefault="00DC6C60" w:rsidP="00DC6C60">
      <w:pPr>
        <w:spacing w:after="0" w:line="276" w:lineRule="auto"/>
        <w:jc w:val="center"/>
      </w:pPr>
      <w:r w:rsidRPr="00DC6C60">
        <w:rPr>
          <w:noProof/>
          <w:lang w:eastAsia="en-GB"/>
        </w:rPr>
        <w:drawing>
          <wp:inline distT="0" distB="0" distL="0" distR="0" wp14:anchorId="503FDA3A" wp14:editId="3CA3CE85">
            <wp:extent cx="4988257" cy="3248502"/>
            <wp:effectExtent l="0" t="0" r="317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05035" cy="3259429"/>
                    </a:xfrm>
                    <a:prstGeom prst="rect">
                      <a:avLst/>
                    </a:prstGeom>
                  </pic:spPr>
                </pic:pic>
              </a:graphicData>
            </a:graphic>
          </wp:inline>
        </w:drawing>
      </w:r>
    </w:p>
    <w:p w14:paraId="71072811" w14:textId="0A09AB71" w:rsidR="00DC6C60" w:rsidRDefault="00B27A94" w:rsidP="00DC6C60">
      <w:pPr>
        <w:spacing w:after="0" w:line="276" w:lineRule="auto"/>
      </w:pPr>
      <w:r>
        <w:t>Figure S13</w:t>
      </w:r>
      <w:r w:rsidR="00DC6C60">
        <w:t xml:space="preserve">: Normalised </w:t>
      </w:r>
      <w:r w:rsidR="00E743C3">
        <w:t>MP</w:t>
      </w:r>
      <w:r w:rsidR="00DC6C60">
        <w:t>(E) EXAFS plots in the Au L</w:t>
      </w:r>
      <w:r w:rsidR="00DC6C60">
        <w:rPr>
          <w:vertAlign w:val="subscript"/>
        </w:rPr>
        <w:t>3</w:t>
      </w:r>
      <w:r w:rsidR="00DC6C60">
        <w:t xml:space="preserve"> region of Au deposited onto HP-SAPO-5, compared with the Au reference foil.</w:t>
      </w:r>
    </w:p>
    <w:p w14:paraId="3A99161A" w14:textId="77777777" w:rsidR="00922989" w:rsidRPr="00922989" w:rsidRDefault="00922989" w:rsidP="00922989">
      <w:pPr>
        <w:spacing w:after="0" w:line="276" w:lineRule="auto"/>
      </w:pPr>
    </w:p>
    <w:p w14:paraId="1DF1BC16" w14:textId="77777777" w:rsidR="00922989" w:rsidRDefault="006F5B3F" w:rsidP="006F5B3F">
      <w:pPr>
        <w:spacing w:after="0" w:line="276" w:lineRule="auto"/>
        <w:jc w:val="center"/>
      </w:pPr>
      <w:r w:rsidRPr="006F5B3F">
        <w:rPr>
          <w:noProof/>
          <w:lang w:eastAsia="en-GB"/>
        </w:rPr>
        <w:lastRenderedPageBreak/>
        <w:drawing>
          <wp:inline distT="0" distB="0" distL="0" distR="0" wp14:anchorId="733689EC" wp14:editId="0E561920">
            <wp:extent cx="4981575" cy="32458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88757" cy="3250485"/>
                    </a:xfrm>
                    <a:prstGeom prst="rect">
                      <a:avLst/>
                    </a:prstGeom>
                  </pic:spPr>
                </pic:pic>
              </a:graphicData>
            </a:graphic>
          </wp:inline>
        </w:drawing>
      </w:r>
    </w:p>
    <w:p w14:paraId="5DC96D42" w14:textId="77777777" w:rsidR="00DC6C60" w:rsidRDefault="00B27A94" w:rsidP="00DC6C60">
      <w:pPr>
        <w:spacing w:after="0" w:line="276" w:lineRule="auto"/>
      </w:pPr>
      <w:r>
        <w:t>Figure S14</w:t>
      </w:r>
      <w:r w:rsidR="00DC6C60">
        <w:t>: Normalised Mu(E) XANES plots in the Au L</w:t>
      </w:r>
      <w:r w:rsidR="00DC6C60">
        <w:rPr>
          <w:vertAlign w:val="subscript"/>
        </w:rPr>
        <w:t>3</w:t>
      </w:r>
      <w:r w:rsidR="00DC6C60">
        <w:t xml:space="preserve"> region of Au deposited onto HP-SAPO-5, compared with the Au reference foil.</w:t>
      </w:r>
    </w:p>
    <w:p w14:paraId="137171F1" w14:textId="77777777" w:rsidR="00DC6C60" w:rsidRDefault="00DC6C60" w:rsidP="00DC6C60">
      <w:pPr>
        <w:spacing w:after="0" w:line="276" w:lineRule="auto"/>
      </w:pPr>
    </w:p>
    <w:p w14:paraId="022CF2C9" w14:textId="77777777" w:rsidR="00686CE4" w:rsidRDefault="00686CE4" w:rsidP="00DC6C60">
      <w:pPr>
        <w:spacing w:after="0" w:line="276" w:lineRule="auto"/>
      </w:pPr>
    </w:p>
    <w:p w14:paraId="116AC065" w14:textId="77777777" w:rsidR="00DC6C60" w:rsidRDefault="00DC6C60" w:rsidP="00DC6C60">
      <w:pPr>
        <w:spacing w:after="0" w:line="276" w:lineRule="auto"/>
      </w:pPr>
    </w:p>
    <w:p w14:paraId="47639F16" w14:textId="77777777" w:rsidR="006F5B3F" w:rsidRDefault="006F5B3F" w:rsidP="00DC6C60">
      <w:pPr>
        <w:spacing w:after="0" w:line="276" w:lineRule="auto"/>
      </w:pPr>
    </w:p>
    <w:p w14:paraId="53DAE8E8" w14:textId="77777777" w:rsidR="00DC6C60" w:rsidRDefault="00DC6C60" w:rsidP="00DC6C60">
      <w:pPr>
        <w:spacing w:after="0" w:line="276" w:lineRule="auto"/>
        <w:jc w:val="center"/>
      </w:pPr>
      <w:r w:rsidRPr="00DC6C60">
        <w:rPr>
          <w:noProof/>
          <w:lang w:eastAsia="en-GB"/>
        </w:rPr>
        <w:drawing>
          <wp:inline distT="0" distB="0" distL="0" distR="0" wp14:anchorId="180E93CE" wp14:editId="0248FBA3">
            <wp:extent cx="5001904" cy="3259051"/>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12154" cy="3265729"/>
                    </a:xfrm>
                    <a:prstGeom prst="rect">
                      <a:avLst/>
                    </a:prstGeom>
                  </pic:spPr>
                </pic:pic>
              </a:graphicData>
            </a:graphic>
          </wp:inline>
        </w:drawing>
      </w:r>
    </w:p>
    <w:p w14:paraId="1025E4ED" w14:textId="77777777" w:rsidR="00DC6C60" w:rsidRDefault="00B27A94" w:rsidP="00DC6C60">
      <w:pPr>
        <w:spacing w:after="0" w:line="276" w:lineRule="auto"/>
      </w:pPr>
      <w:r>
        <w:t>Figure S15</w:t>
      </w:r>
      <w:r w:rsidR="00DC6C60">
        <w:t>: The magnitude of the k</w:t>
      </w:r>
      <w:r w:rsidR="00DC6C60">
        <w:rPr>
          <w:vertAlign w:val="superscript"/>
        </w:rPr>
        <w:t>3</w:t>
      </w:r>
      <w:r w:rsidR="00DC6C60">
        <w:t xml:space="preserve"> weighted Fourier Transform for the EXAFS data on Au deposited onto HP-SAPO-5, compared with the Au reference foil.</w:t>
      </w:r>
    </w:p>
    <w:p w14:paraId="18CC0701" w14:textId="77777777" w:rsidR="00D917CA" w:rsidRDefault="00D917CA" w:rsidP="00DC6C60">
      <w:pPr>
        <w:spacing w:after="0" w:line="276" w:lineRule="auto"/>
      </w:pPr>
    </w:p>
    <w:p w14:paraId="66357FF6" w14:textId="77777777" w:rsidR="00D917CA" w:rsidRDefault="00D917CA" w:rsidP="00DC6C60">
      <w:pPr>
        <w:spacing w:after="0" w:line="276" w:lineRule="auto"/>
        <w:rPr>
          <w:b/>
        </w:rPr>
      </w:pPr>
    </w:p>
    <w:p w14:paraId="2D7AEEF6" w14:textId="77777777" w:rsidR="00D917CA" w:rsidRDefault="00D917CA">
      <w:pPr>
        <w:rPr>
          <w:b/>
        </w:rPr>
      </w:pPr>
      <w:r>
        <w:rPr>
          <w:b/>
        </w:rPr>
        <w:br w:type="page"/>
      </w:r>
    </w:p>
    <w:p w14:paraId="602E311A" w14:textId="77777777" w:rsidR="00D917CA" w:rsidRPr="00D917CA" w:rsidRDefault="00D917CA" w:rsidP="00DC6C60">
      <w:pPr>
        <w:spacing w:after="0" w:line="276" w:lineRule="auto"/>
        <w:rPr>
          <w:b/>
        </w:rPr>
      </w:pPr>
      <w:r>
        <w:rPr>
          <w:b/>
        </w:rPr>
        <w:lastRenderedPageBreak/>
        <w:t>Toluene oxidation results</w:t>
      </w:r>
    </w:p>
    <w:p w14:paraId="671E9533" w14:textId="77777777" w:rsidR="00731842" w:rsidRDefault="00731842" w:rsidP="00731842">
      <w:pPr>
        <w:spacing w:after="0" w:line="276" w:lineRule="auto"/>
        <w:jc w:val="both"/>
      </w:pPr>
    </w:p>
    <w:p w14:paraId="1B4EAECE" w14:textId="77777777" w:rsidR="00731842" w:rsidRDefault="00731842" w:rsidP="00731842">
      <w:pPr>
        <w:spacing w:after="0" w:line="276" w:lineRule="auto"/>
        <w:jc w:val="both"/>
      </w:pPr>
      <w:r w:rsidRPr="00F2389B">
        <w:t xml:space="preserve">Toluene (16.5 mmol, 1.52 g), </w:t>
      </w:r>
      <w:r>
        <w:t xml:space="preserve">70% </w:t>
      </w:r>
      <w:r w:rsidRPr="00F2389B">
        <w:t>TBHP in water (16.5 mmol, 2.28 mL) and bis (2-methoxyethyl) ether (diglyme) (1.9 mmol, 0.28 mL) were all added to a RBF (10 mL)</w:t>
      </w:r>
      <w:r>
        <w:t>, which was then sealed</w:t>
      </w:r>
      <w:r w:rsidRPr="00F2389B">
        <w:t xml:space="preserve"> and stirred at 80 </w:t>
      </w:r>
      <w:r w:rsidRPr="00F2389B">
        <w:rPr>
          <w:vertAlign w:val="superscript"/>
        </w:rPr>
        <w:t>o</w:t>
      </w:r>
      <w:r w:rsidRPr="00F2389B">
        <w:t xml:space="preserve">C in a pre-heated oil bath. </w:t>
      </w:r>
      <w:r>
        <w:t>50 mg of catalyst</w:t>
      </w:r>
      <w:r w:rsidRPr="00F2389B">
        <w:t xml:space="preserve"> was added to the mixture and left to stir for 24 hours. The samples were analysed using a Perkin Elmer 3400CX gas chromatogram with flame ionisation detector (FID). Products were identified against authenticated standards</w:t>
      </w:r>
      <w:r>
        <w:t>,</w:t>
      </w:r>
      <w:r w:rsidRPr="00F2389B">
        <w:t xml:space="preserve"> and quantified by </w:t>
      </w:r>
      <w:r>
        <w:t>via calibration of measured response factors</w:t>
      </w:r>
      <w:r w:rsidRPr="00F2389B">
        <w:t xml:space="preserve"> against the </w:t>
      </w:r>
      <w:r>
        <w:t xml:space="preserve">diglyme </w:t>
      </w:r>
      <w:r w:rsidRPr="00F2389B">
        <w:t>internal standard.</w:t>
      </w:r>
    </w:p>
    <w:p w14:paraId="3494D02E" w14:textId="77777777" w:rsidR="00DC6C60" w:rsidRDefault="00DC6C60" w:rsidP="00DC6C60">
      <w:pPr>
        <w:spacing w:after="0" w:line="276" w:lineRule="auto"/>
      </w:pPr>
    </w:p>
    <w:p w14:paraId="4C034928" w14:textId="3002CE0A" w:rsidR="005F280A" w:rsidRDefault="00B27A94" w:rsidP="00DC6C60">
      <w:pPr>
        <w:spacing w:after="0" w:line="276" w:lineRule="auto"/>
      </w:pPr>
      <w:r>
        <w:t>Table S5</w:t>
      </w:r>
      <w:r w:rsidR="005F280A">
        <w:t>:</w:t>
      </w:r>
      <w:r w:rsidR="00731842">
        <w:t xml:space="preserve"> </w:t>
      </w:r>
      <w:r w:rsidR="00560653">
        <w:t>Preliminary</w:t>
      </w:r>
      <w:r w:rsidR="00731842">
        <w:t xml:space="preserve"> toluene catalysis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221"/>
        <w:gridCol w:w="2221"/>
        <w:gridCol w:w="1083"/>
      </w:tblGrid>
      <w:tr w:rsidR="00560653" w14:paraId="5563390B" w14:textId="77777777" w:rsidTr="005F280A">
        <w:tc>
          <w:tcPr>
            <w:tcW w:w="1271" w:type="dxa"/>
            <w:tcBorders>
              <w:top w:val="single" w:sz="4" w:space="0" w:color="auto"/>
              <w:bottom w:val="single" w:sz="4" w:space="0" w:color="auto"/>
            </w:tcBorders>
          </w:tcPr>
          <w:p w14:paraId="351A5235" w14:textId="77777777" w:rsidR="00560653" w:rsidRDefault="00560653" w:rsidP="00DC6C60">
            <w:pPr>
              <w:spacing w:line="276" w:lineRule="auto"/>
            </w:pPr>
            <w:r>
              <w:t>Time/hrs</w:t>
            </w:r>
          </w:p>
        </w:tc>
        <w:tc>
          <w:tcPr>
            <w:tcW w:w="2221" w:type="dxa"/>
            <w:tcBorders>
              <w:top w:val="single" w:sz="4" w:space="0" w:color="auto"/>
              <w:bottom w:val="single" w:sz="4" w:space="0" w:color="auto"/>
            </w:tcBorders>
          </w:tcPr>
          <w:p w14:paraId="545C5DC1" w14:textId="77777777" w:rsidR="00560653" w:rsidRDefault="00560653" w:rsidP="00E65F87">
            <w:pPr>
              <w:spacing w:line="276" w:lineRule="auto"/>
              <w:jc w:val="center"/>
            </w:pPr>
            <w:r>
              <w:t>Benzyl Alcohol Selectivity/mol%</w:t>
            </w:r>
          </w:p>
        </w:tc>
        <w:tc>
          <w:tcPr>
            <w:tcW w:w="2221" w:type="dxa"/>
            <w:tcBorders>
              <w:top w:val="single" w:sz="4" w:space="0" w:color="auto"/>
              <w:bottom w:val="single" w:sz="4" w:space="0" w:color="auto"/>
            </w:tcBorders>
          </w:tcPr>
          <w:p w14:paraId="7685983E" w14:textId="77777777" w:rsidR="00560653" w:rsidRDefault="00560653" w:rsidP="00E65F87">
            <w:pPr>
              <w:spacing w:line="276" w:lineRule="auto"/>
              <w:jc w:val="center"/>
            </w:pPr>
            <w:r>
              <w:t>Benzoic Acid/mol%</w:t>
            </w:r>
          </w:p>
        </w:tc>
        <w:tc>
          <w:tcPr>
            <w:tcW w:w="1083" w:type="dxa"/>
            <w:tcBorders>
              <w:top w:val="single" w:sz="4" w:space="0" w:color="auto"/>
              <w:bottom w:val="single" w:sz="4" w:space="0" w:color="auto"/>
            </w:tcBorders>
          </w:tcPr>
          <w:p w14:paraId="7E2E6846" w14:textId="77777777" w:rsidR="00560653" w:rsidRPr="009464D1" w:rsidRDefault="00560653" w:rsidP="00DC6C60">
            <w:pPr>
              <w:spacing w:line="276" w:lineRule="auto"/>
              <w:rPr>
                <w:vertAlign w:val="superscript"/>
              </w:rPr>
            </w:pPr>
            <w:r>
              <w:t>TON</w:t>
            </w:r>
            <w:r>
              <w:rPr>
                <w:vertAlign w:val="superscript"/>
              </w:rPr>
              <w:t>a</w:t>
            </w:r>
          </w:p>
        </w:tc>
      </w:tr>
      <w:tr w:rsidR="00560653" w14:paraId="615107EA" w14:textId="77777777" w:rsidTr="005F280A">
        <w:tc>
          <w:tcPr>
            <w:tcW w:w="1271" w:type="dxa"/>
            <w:tcBorders>
              <w:top w:val="single" w:sz="4" w:space="0" w:color="auto"/>
            </w:tcBorders>
          </w:tcPr>
          <w:p w14:paraId="5A903F53" w14:textId="77777777" w:rsidR="00560653" w:rsidRDefault="00560653" w:rsidP="00DC6C60">
            <w:pPr>
              <w:spacing w:line="276" w:lineRule="auto"/>
            </w:pPr>
            <w:r>
              <w:t>8</w:t>
            </w:r>
          </w:p>
        </w:tc>
        <w:tc>
          <w:tcPr>
            <w:tcW w:w="2221" w:type="dxa"/>
            <w:tcBorders>
              <w:top w:val="single" w:sz="4" w:space="0" w:color="auto"/>
            </w:tcBorders>
          </w:tcPr>
          <w:p w14:paraId="503BEF97" w14:textId="77777777" w:rsidR="00560653" w:rsidRDefault="00560653" w:rsidP="00E65F87">
            <w:pPr>
              <w:spacing w:line="276" w:lineRule="auto"/>
              <w:jc w:val="center"/>
            </w:pPr>
            <w:r>
              <w:t>0</w:t>
            </w:r>
          </w:p>
        </w:tc>
        <w:tc>
          <w:tcPr>
            <w:tcW w:w="2221" w:type="dxa"/>
            <w:tcBorders>
              <w:top w:val="single" w:sz="4" w:space="0" w:color="auto"/>
            </w:tcBorders>
          </w:tcPr>
          <w:p w14:paraId="2663503E" w14:textId="77777777" w:rsidR="00560653" w:rsidRDefault="00560653" w:rsidP="00E65F87">
            <w:pPr>
              <w:spacing w:line="276" w:lineRule="auto"/>
              <w:jc w:val="center"/>
            </w:pPr>
            <w:r>
              <w:t>100</w:t>
            </w:r>
          </w:p>
        </w:tc>
        <w:tc>
          <w:tcPr>
            <w:tcW w:w="1083" w:type="dxa"/>
            <w:tcBorders>
              <w:top w:val="single" w:sz="4" w:space="0" w:color="auto"/>
            </w:tcBorders>
          </w:tcPr>
          <w:p w14:paraId="4B0A32F0" w14:textId="77777777" w:rsidR="00560653" w:rsidRDefault="00560653" w:rsidP="00DC6C60">
            <w:pPr>
              <w:spacing w:line="276" w:lineRule="auto"/>
            </w:pPr>
            <w:r>
              <w:t>16</w:t>
            </w:r>
          </w:p>
        </w:tc>
      </w:tr>
      <w:tr w:rsidR="00560653" w14:paraId="2C91A6B3" w14:textId="77777777" w:rsidTr="005F280A">
        <w:tc>
          <w:tcPr>
            <w:tcW w:w="1271" w:type="dxa"/>
          </w:tcPr>
          <w:p w14:paraId="7CA976F8" w14:textId="77777777" w:rsidR="00560653" w:rsidRDefault="00560653" w:rsidP="00DC6C60">
            <w:pPr>
              <w:spacing w:line="276" w:lineRule="auto"/>
            </w:pPr>
            <w:r>
              <w:t>24</w:t>
            </w:r>
          </w:p>
        </w:tc>
        <w:tc>
          <w:tcPr>
            <w:tcW w:w="2221" w:type="dxa"/>
          </w:tcPr>
          <w:p w14:paraId="72EA7DAF" w14:textId="77777777" w:rsidR="00560653" w:rsidRDefault="00560653" w:rsidP="00E65F87">
            <w:pPr>
              <w:spacing w:line="276" w:lineRule="auto"/>
              <w:jc w:val="center"/>
            </w:pPr>
            <w:r>
              <w:t>28</w:t>
            </w:r>
          </w:p>
        </w:tc>
        <w:tc>
          <w:tcPr>
            <w:tcW w:w="2221" w:type="dxa"/>
          </w:tcPr>
          <w:p w14:paraId="28E4A3C1" w14:textId="77777777" w:rsidR="00560653" w:rsidRDefault="00560653" w:rsidP="00E65F87">
            <w:pPr>
              <w:spacing w:line="276" w:lineRule="auto"/>
              <w:jc w:val="center"/>
            </w:pPr>
            <w:r>
              <w:t>72</w:t>
            </w:r>
          </w:p>
        </w:tc>
        <w:tc>
          <w:tcPr>
            <w:tcW w:w="1083" w:type="dxa"/>
          </w:tcPr>
          <w:p w14:paraId="666ADC48" w14:textId="77777777" w:rsidR="00560653" w:rsidRDefault="00560653" w:rsidP="00DC6C60">
            <w:pPr>
              <w:spacing w:line="276" w:lineRule="auto"/>
            </w:pPr>
            <w:r>
              <w:t>35</w:t>
            </w:r>
          </w:p>
        </w:tc>
      </w:tr>
    </w:tbl>
    <w:p w14:paraId="6AB4F41F" w14:textId="77777777" w:rsidR="00E65F87" w:rsidRPr="00E65F87" w:rsidRDefault="00731842" w:rsidP="00E65F87">
      <w:pPr>
        <w:spacing w:after="0" w:line="276" w:lineRule="auto"/>
      </w:pPr>
      <w:r>
        <w:t>a</w:t>
      </w:r>
      <w:r w:rsidR="009464D1">
        <w:t xml:space="preserve"> = Turnover number, moles of toluene converted/moles of gold.</w:t>
      </w:r>
    </w:p>
    <w:p w14:paraId="3B0633F6" w14:textId="77777777" w:rsidR="00DC6C60" w:rsidRDefault="00DC6C60" w:rsidP="00DC6C60">
      <w:pPr>
        <w:spacing w:after="0" w:line="276" w:lineRule="auto"/>
      </w:pPr>
    </w:p>
    <w:p w14:paraId="78043104" w14:textId="77777777" w:rsidR="00D254FC" w:rsidRPr="00D254FC" w:rsidRDefault="00D254FC" w:rsidP="00D254FC">
      <w:pPr>
        <w:spacing w:after="0" w:line="276" w:lineRule="auto"/>
      </w:pPr>
    </w:p>
    <w:p w14:paraId="53D95FB0" w14:textId="77777777" w:rsidR="00006CCC" w:rsidRDefault="000D33EF" w:rsidP="00223981">
      <w:pPr>
        <w:spacing w:after="0" w:line="276" w:lineRule="auto"/>
        <w:rPr>
          <w:b/>
        </w:rPr>
      </w:pPr>
      <w:r>
        <w:rPr>
          <w:b/>
        </w:rPr>
        <w:t>References</w:t>
      </w:r>
    </w:p>
    <w:p w14:paraId="5538B8E1" w14:textId="77777777" w:rsidR="000D33EF" w:rsidRDefault="000D33EF" w:rsidP="00781D2A">
      <w:pPr>
        <w:spacing w:after="0" w:line="276" w:lineRule="auto"/>
        <w:rPr>
          <w:rFonts w:cs="Times New Roman"/>
        </w:rPr>
      </w:pPr>
      <w:r>
        <w:t xml:space="preserve">S1. </w:t>
      </w:r>
      <w:r>
        <w:rPr>
          <w:rFonts w:cs="Times New Roman"/>
        </w:rPr>
        <w:t xml:space="preserve">Potter, M. E.; Kezina, J.; Bounds, R.; Carravetta, M.; Mezza, T. M.; Raja, R. </w:t>
      </w:r>
      <w:r>
        <w:rPr>
          <w:rFonts w:cs="Times New Roman"/>
          <w:i/>
        </w:rPr>
        <w:t>Catal. Sci. Technol.</w:t>
      </w:r>
      <w:r>
        <w:rPr>
          <w:rFonts w:cs="Times New Roman"/>
        </w:rPr>
        <w:t xml:space="preserve"> </w:t>
      </w:r>
      <w:r>
        <w:rPr>
          <w:rFonts w:cs="Times New Roman"/>
          <w:b/>
        </w:rPr>
        <w:t>2018</w:t>
      </w:r>
      <w:r>
        <w:rPr>
          <w:rFonts w:cs="Times New Roman"/>
        </w:rPr>
        <w:t xml:space="preserve">, </w:t>
      </w:r>
      <w:r>
        <w:rPr>
          <w:rFonts w:cs="Times New Roman"/>
          <w:i/>
        </w:rPr>
        <w:t>8</w:t>
      </w:r>
      <w:r>
        <w:rPr>
          <w:rFonts w:cs="Times New Roman"/>
        </w:rPr>
        <w:t>, 5155-5164.</w:t>
      </w:r>
    </w:p>
    <w:p w14:paraId="7C1976B0" w14:textId="77777777" w:rsidR="00781D2A" w:rsidRDefault="000D33EF" w:rsidP="00781D2A">
      <w:pPr>
        <w:spacing w:after="0" w:line="276" w:lineRule="auto"/>
        <w:rPr>
          <w:rFonts w:cs="Times New Roman"/>
        </w:rPr>
      </w:pPr>
      <w:r>
        <w:rPr>
          <w:rFonts w:cs="Times New Roman"/>
        </w:rPr>
        <w:t xml:space="preserve">S2. </w:t>
      </w:r>
      <w:r w:rsidR="00781D2A" w:rsidRPr="00781D2A">
        <w:rPr>
          <w:rFonts w:cs="Times New Roman"/>
          <w:i/>
          <w:iCs/>
          <w:lang w:val="en"/>
        </w:rPr>
        <w:t>CasaXPS,</w:t>
      </w:r>
      <w:r w:rsidR="00781D2A" w:rsidRPr="00781D2A">
        <w:rPr>
          <w:rFonts w:cs="Times New Roman"/>
          <w:lang w:val="en"/>
        </w:rPr>
        <w:t xml:space="preserve"> version 2.3.12; Casa Software Ltd., 2000, </w:t>
      </w:r>
      <w:hyperlink r:id="rId23" w:tgtFrame="_blank" w:history="1">
        <w:r w:rsidR="00781D2A" w:rsidRPr="00781D2A">
          <w:rPr>
            <w:rStyle w:val="Hyperlink"/>
            <w:rFonts w:cs="Times New Roman"/>
            <w:lang w:val="en"/>
          </w:rPr>
          <w:t>http://www.casaxps.com</w:t>
        </w:r>
      </w:hyperlink>
      <w:r w:rsidR="00781D2A" w:rsidRPr="00781D2A">
        <w:rPr>
          <w:rFonts w:cs="Times New Roman"/>
          <w:lang w:val="en"/>
        </w:rPr>
        <w:t>.</w:t>
      </w:r>
    </w:p>
    <w:p w14:paraId="77EB2DCD" w14:textId="77777777" w:rsidR="000D33EF" w:rsidRPr="000D33EF" w:rsidRDefault="00781D2A" w:rsidP="00781D2A">
      <w:pPr>
        <w:spacing w:after="0" w:line="276" w:lineRule="auto"/>
        <w:rPr>
          <w:rFonts w:cs="Times New Roman"/>
        </w:rPr>
      </w:pPr>
      <w:r>
        <w:rPr>
          <w:rFonts w:cs="Times New Roman"/>
        </w:rPr>
        <w:t xml:space="preserve">S3. </w:t>
      </w:r>
      <w:r w:rsidR="000D33EF">
        <w:rPr>
          <w:rFonts w:cs="Times New Roman"/>
        </w:rPr>
        <w:t xml:space="preserve">Brunauer, S.; Emmett, P. H.; Teller, E. </w:t>
      </w:r>
      <w:r w:rsidR="000D33EF">
        <w:rPr>
          <w:rFonts w:cs="Times New Roman"/>
          <w:i/>
        </w:rPr>
        <w:t>J. Am. Chem. Soc.</w:t>
      </w:r>
      <w:r w:rsidR="000D33EF">
        <w:rPr>
          <w:rFonts w:cs="Times New Roman"/>
        </w:rPr>
        <w:t xml:space="preserve"> </w:t>
      </w:r>
      <w:r w:rsidR="000D33EF">
        <w:rPr>
          <w:rFonts w:cs="Times New Roman"/>
          <w:b/>
        </w:rPr>
        <w:t>1938</w:t>
      </w:r>
      <w:r w:rsidR="000D33EF">
        <w:rPr>
          <w:rFonts w:cs="Times New Roman"/>
        </w:rPr>
        <w:t xml:space="preserve">, </w:t>
      </w:r>
      <w:r w:rsidR="000D33EF">
        <w:rPr>
          <w:rFonts w:cs="Times New Roman"/>
          <w:i/>
        </w:rPr>
        <w:t>60</w:t>
      </w:r>
      <w:r w:rsidR="000D33EF">
        <w:rPr>
          <w:rFonts w:cs="Times New Roman"/>
        </w:rPr>
        <w:t>, 309-319.</w:t>
      </w:r>
    </w:p>
    <w:p w14:paraId="14491905" w14:textId="77777777" w:rsidR="000D33EF" w:rsidRPr="000D33EF" w:rsidRDefault="000D33EF" w:rsidP="00781D2A">
      <w:pPr>
        <w:spacing w:after="0" w:line="276" w:lineRule="auto"/>
        <w:rPr>
          <w:rFonts w:cs="Times New Roman"/>
        </w:rPr>
      </w:pPr>
      <w:r>
        <w:rPr>
          <w:rFonts w:cs="Times New Roman"/>
        </w:rPr>
        <w:t>S</w:t>
      </w:r>
      <w:r w:rsidR="00781D2A">
        <w:rPr>
          <w:rFonts w:cs="Times New Roman"/>
        </w:rPr>
        <w:t>4</w:t>
      </w:r>
      <w:r>
        <w:rPr>
          <w:rFonts w:cs="Times New Roman"/>
        </w:rPr>
        <w:t>. Barre</w:t>
      </w:r>
      <w:r w:rsidR="002A3A38">
        <w:rPr>
          <w:rFonts w:cs="Times New Roman"/>
        </w:rPr>
        <w:t>t</w:t>
      </w:r>
      <w:r>
        <w:rPr>
          <w:rFonts w:cs="Times New Roman"/>
        </w:rPr>
        <w:t xml:space="preserve">t, E. P.; Joyner, L. G.; Halenda, P. H. </w:t>
      </w:r>
      <w:r>
        <w:rPr>
          <w:rFonts w:cs="Times New Roman"/>
          <w:i/>
        </w:rPr>
        <w:t>J. Am. Chem. Soc.</w:t>
      </w:r>
      <w:r>
        <w:rPr>
          <w:rFonts w:cs="Times New Roman"/>
        </w:rPr>
        <w:t xml:space="preserve"> </w:t>
      </w:r>
      <w:r>
        <w:rPr>
          <w:rFonts w:cs="Times New Roman"/>
          <w:b/>
        </w:rPr>
        <w:t>1951</w:t>
      </w:r>
      <w:r>
        <w:rPr>
          <w:rFonts w:cs="Times New Roman"/>
        </w:rPr>
        <w:t xml:space="preserve">, </w:t>
      </w:r>
      <w:r>
        <w:rPr>
          <w:rFonts w:cs="Times New Roman"/>
          <w:i/>
        </w:rPr>
        <w:t>73</w:t>
      </w:r>
      <w:r>
        <w:rPr>
          <w:rFonts w:cs="Times New Roman"/>
        </w:rPr>
        <w:t>, 373-380.</w:t>
      </w:r>
    </w:p>
    <w:p w14:paraId="53519EEB" w14:textId="77777777" w:rsidR="000D33EF" w:rsidRPr="00ED4257" w:rsidRDefault="00781D2A" w:rsidP="00781D2A">
      <w:pPr>
        <w:spacing w:after="0" w:line="276" w:lineRule="auto"/>
        <w:rPr>
          <w:rFonts w:cs="Times New Roman"/>
        </w:rPr>
      </w:pPr>
      <w:r>
        <w:rPr>
          <w:rFonts w:cs="Times New Roman"/>
        </w:rPr>
        <w:t>S5</w:t>
      </w:r>
      <w:r w:rsidR="000D33EF">
        <w:rPr>
          <w:rFonts w:cs="Times New Roman"/>
        </w:rPr>
        <w:t xml:space="preserve">. </w:t>
      </w:r>
      <w:r w:rsidR="00ED4257">
        <w:rPr>
          <w:rFonts w:cs="Times New Roman"/>
        </w:rPr>
        <w:t xml:space="preserve">Newville, M. </w:t>
      </w:r>
      <w:r w:rsidR="00ED4257">
        <w:rPr>
          <w:rFonts w:cs="Times New Roman"/>
          <w:i/>
        </w:rPr>
        <w:t>J. Synchrotron Raditat.</w:t>
      </w:r>
      <w:r w:rsidR="00ED4257">
        <w:rPr>
          <w:rFonts w:cs="Times New Roman"/>
        </w:rPr>
        <w:t xml:space="preserve"> </w:t>
      </w:r>
      <w:r w:rsidR="00ED4257">
        <w:rPr>
          <w:rFonts w:cs="Times New Roman"/>
          <w:b/>
        </w:rPr>
        <w:t>2001</w:t>
      </w:r>
      <w:r w:rsidR="00ED4257">
        <w:rPr>
          <w:rFonts w:cs="Times New Roman"/>
        </w:rPr>
        <w:t xml:space="preserve">, </w:t>
      </w:r>
      <w:r w:rsidR="00ED4257">
        <w:rPr>
          <w:rFonts w:cs="Times New Roman"/>
          <w:i/>
        </w:rPr>
        <w:t>8</w:t>
      </w:r>
      <w:r w:rsidR="00ED4257">
        <w:rPr>
          <w:rFonts w:cs="Times New Roman"/>
        </w:rPr>
        <w:t>, 322-324.</w:t>
      </w:r>
    </w:p>
    <w:p w14:paraId="7D4A8FDC" w14:textId="77777777" w:rsidR="000D33EF" w:rsidRPr="00ED4257" w:rsidRDefault="000D33EF" w:rsidP="00781D2A">
      <w:pPr>
        <w:spacing w:after="0" w:line="276" w:lineRule="auto"/>
      </w:pPr>
      <w:r>
        <w:rPr>
          <w:rFonts w:cs="Times New Roman"/>
        </w:rPr>
        <w:t>S</w:t>
      </w:r>
      <w:r w:rsidR="00781D2A">
        <w:rPr>
          <w:rFonts w:cs="Times New Roman"/>
        </w:rPr>
        <w:t>6</w:t>
      </w:r>
      <w:r>
        <w:rPr>
          <w:rFonts w:cs="Times New Roman"/>
        </w:rPr>
        <w:t xml:space="preserve">. </w:t>
      </w:r>
      <w:r w:rsidR="00ED4257">
        <w:rPr>
          <w:rFonts w:cs="Times New Roman"/>
        </w:rPr>
        <w:t xml:space="preserve">Ravel, B.; Newville M. </w:t>
      </w:r>
      <w:r w:rsidR="00ED4257">
        <w:rPr>
          <w:rFonts w:cs="Times New Roman"/>
          <w:i/>
        </w:rPr>
        <w:t>J. Synchrotron Raditat.</w:t>
      </w:r>
      <w:r w:rsidR="00ED4257">
        <w:rPr>
          <w:rFonts w:cs="Times New Roman"/>
        </w:rPr>
        <w:t xml:space="preserve"> </w:t>
      </w:r>
      <w:r w:rsidR="00ED4257">
        <w:rPr>
          <w:rFonts w:cs="Times New Roman"/>
          <w:b/>
        </w:rPr>
        <w:t>2005</w:t>
      </w:r>
      <w:r w:rsidR="00ED4257">
        <w:rPr>
          <w:rFonts w:cs="Times New Roman"/>
        </w:rPr>
        <w:t xml:space="preserve">, </w:t>
      </w:r>
      <w:r w:rsidR="00ED4257">
        <w:rPr>
          <w:rFonts w:cs="Times New Roman"/>
          <w:i/>
        </w:rPr>
        <w:t>12</w:t>
      </w:r>
      <w:r w:rsidR="00ED4257">
        <w:rPr>
          <w:rFonts w:cs="Times New Roman"/>
        </w:rPr>
        <w:t>, 537-541.</w:t>
      </w:r>
    </w:p>
    <w:sectPr w:rsidR="000D33EF" w:rsidRPr="00ED4257" w:rsidSect="00C3740A">
      <w:footerReference w:type="default" r:id="rId24"/>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820BB" w14:textId="77777777" w:rsidR="00AF19AA" w:rsidRDefault="00AF19AA" w:rsidP="00933396">
      <w:pPr>
        <w:spacing w:after="0" w:line="240" w:lineRule="auto"/>
      </w:pPr>
      <w:r>
        <w:separator/>
      </w:r>
    </w:p>
  </w:endnote>
  <w:endnote w:type="continuationSeparator" w:id="0">
    <w:p w14:paraId="14B0625C" w14:textId="77777777" w:rsidR="00AF19AA" w:rsidRDefault="00AF19AA" w:rsidP="0093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050842"/>
      <w:docPartObj>
        <w:docPartGallery w:val="Page Numbers (Bottom of Page)"/>
        <w:docPartUnique/>
      </w:docPartObj>
    </w:sdtPr>
    <w:sdtEndPr>
      <w:rPr>
        <w:noProof/>
      </w:rPr>
    </w:sdtEndPr>
    <w:sdtContent>
      <w:p w14:paraId="2B1CE91D" w14:textId="77777777" w:rsidR="00D917CA" w:rsidRDefault="00D917CA">
        <w:pPr>
          <w:pStyle w:val="Footer"/>
          <w:jc w:val="right"/>
        </w:pPr>
        <w:r>
          <w:t>Page S</w:t>
        </w:r>
        <w:r>
          <w:fldChar w:fldCharType="begin"/>
        </w:r>
        <w:r>
          <w:instrText xml:space="preserve"> PAGE   \* MERGEFORMAT </w:instrText>
        </w:r>
        <w:r>
          <w:fldChar w:fldCharType="separate"/>
        </w:r>
        <w:r w:rsidR="006319F4">
          <w:rPr>
            <w:noProof/>
          </w:rPr>
          <w:t>1</w:t>
        </w:r>
        <w:r>
          <w:rPr>
            <w:noProof/>
          </w:rPr>
          <w:fldChar w:fldCharType="end"/>
        </w:r>
      </w:p>
    </w:sdtContent>
  </w:sdt>
  <w:p w14:paraId="0F27D248" w14:textId="77777777" w:rsidR="00D917CA" w:rsidRDefault="00D9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FBB5" w14:textId="77777777" w:rsidR="00AF19AA" w:rsidRDefault="00AF19AA" w:rsidP="00933396">
      <w:pPr>
        <w:spacing w:after="0" w:line="240" w:lineRule="auto"/>
      </w:pPr>
      <w:r>
        <w:separator/>
      </w:r>
    </w:p>
  </w:footnote>
  <w:footnote w:type="continuationSeparator" w:id="0">
    <w:p w14:paraId="6FE051AF" w14:textId="77777777" w:rsidR="00AF19AA" w:rsidRDefault="00AF19AA" w:rsidP="00933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44"/>
    <w:rsid w:val="00006CCC"/>
    <w:rsid w:val="00015294"/>
    <w:rsid w:val="00022753"/>
    <w:rsid w:val="00036E96"/>
    <w:rsid w:val="00047469"/>
    <w:rsid w:val="00071C3F"/>
    <w:rsid w:val="000756B6"/>
    <w:rsid w:val="00090B35"/>
    <w:rsid w:val="000D33EF"/>
    <w:rsid w:val="000D5675"/>
    <w:rsid w:val="000F3DBE"/>
    <w:rsid w:val="00111440"/>
    <w:rsid w:val="001B46AC"/>
    <w:rsid w:val="001C1E62"/>
    <w:rsid w:val="001E4F1C"/>
    <w:rsid w:val="00223981"/>
    <w:rsid w:val="00223E32"/>
    <w:rsid w:val="00226BEF"/>
    <w:rsid w:val="002330F8"/>
    <w:rsid w:val="00272E49"/>
    <w:rsid w:val="00286E38"/>
    <w:rsid w:val="002A3A38"/>
    <w:rsid w:val="002C5722"/>
    <w:rsid w:val="002C5EAE"/>
    <w:rsid w:val="003028B1"/>
    <w:rsid w:val="003065EE"/>
    <w:rsid w:val="00326F86"/>
    <w:rsid w:val="00342509"/>
    <w:rsid w:val="0039116F"/>
    <w:rsid w:val="003960FA"/>
    <w:rsid w:val="004529F1"/>
    <w:rsid w:val="00466227"/>
    <w:rsid w:val="0048168E"/>
    <w:rsid w:val="00494DD8"/>
    <w:rsid w:val="005534B9"/>
    <w:rsid w:val="00560653"/>
    <w:rsid w:val="005D2114"/>
    <w:rsid w:val="005E5369"/>
    <w:rsid w:val="005F280A"/>
    <w:rsid w:val="005F38C2"/>
    <w:rsid w:val="006319F4"/>
    <w:rsid w:val="00635D60"/>
    <w:rsid w:val="00637EB4"/>
    <w:rsid w:val="006411B2"/>
    <w:rsid w:val="00667EBD"/>
    <w:rsid w:val="00674AD0"/>
    <w:rsid w:val="00686CE4"/>
    <w:rsid w:val="006A4678"/>
    <w:rsid w:val="006E1060"/>
    <w:rsid w:val="006F5B3F"/>
    <w:rsid w:val="00731842"/>
    <w:rsid w:val="00740997"/>
    <w:rsid w:val="0074250C"/>
    <w:rsid w:val="00745757"/>
    <w:rsid w:val="00781D2A"/>
    <w:rsid w:val="00796E37"/>
    <w:rsid w:val="007A70FD"/>
    <w:rsid w:val="00807D35"/>
    <w:rsid w:val="00821B96"/>
    <w:rsid w:val="00852874"/>
    <w:rsid w:val="008A5090"/>
    <w:rsid w:val="008B2903"/>
    <w:rsid w:val="008F5B3F"/>
    <w:rsid w:val="00905408"/>
    <w:rsid w:val="00922989"/>
    <w:rsid w:val="009244A9"/>
    <w:rsid w:val="00930117"/>
    <w:rsid w:val="00933396"/>
    <w:rsid w:val="00940249"/>
    <w:rsid w:val="009464D1"/>
    <w:rsid w:val="00985BDB"/>
    <w:rsid w:val="00990D52"/>
    <w:rsid w:val="00995485"/>
    <w:rsid w:val="009E7D6C"/>
    <w:rsid w:val="00AC2D91"/>
    <w:rsid w:val="00AE1CF7"/>
    <w:rsid w:val="00AF19AA"/>
    <w:rsid w:val="00B27A94"/>
    <w:rsid w:val="00B56F11"/>
    <w:rsid w:val="00BB6BB4"/>
    <w:rsid w:val="00BE2AC1"/>
    <w:rsid w:val="00C03044"/>
    <w:rsid w:val="00C20524"/>
    <w:rsid w:val="00C3740A"/>
    <w:rsid w:val="00C54919"/>
    <w:rsid w:val="00CB288D"/>
    <w:rsid w:val="00CB6DCC"/>
    <w:rsid w:val="00D13159"/>
    <w:rsid w:val="00D254FC"/>
    <w:rsid w:val="00D90681"/>
    <w:rsid w:val="00D917CA"/>
    <w:rsid w:val="00DB4236"/>
    <w:rsid w:val="00DC6C60"/>
    <w:rsid w:val="00E02977"/>
    <w:rsid w:val="00E21D7A"/>
    <w:rsid w:val="00E476E4"/>
    <w:rsid w:val="00E65F87"/>
    <w:rsid w:val="00E743C3"/>
    <w:rsid w:val="00E7750A"/>
    <w:rsid w:val="00EB2A3B"/>
    <w:rsid w:val="00ED4257"/>
    <w:rsid w:val="00F2389B"/>
    <w:rsid w:val="00F424FE"/>
    <w:rsid w:val="00F47315"/>
    <w:rsid w:val="00F53919"/>
    <w:rsid w:val="00F54AA3"/>
    <w:rsid w:val="00F76EC3"/>
    <w:rsid w:val="00FB50AE"/>
    <w:rsid w:val="00FB5CAD"/>
    <w:rsid w:val="00FF4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8EFB"/>
  <w15:chartTrackingRefBased/>
  <w15:docId w15:val="{AACC56A0-8A49-4C1A-AD67-E4A25160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1">
    <w:name w:val="Grid Table 2 Accent 1"/>
    <w:basedOn w:val="TableNormal"/>
    <w:uiPriority w:val="47"/>
    <w:rsid w:val="00C03044"/>
    <w:pPr>
      <w:spacing w:after="0" w:line="240" w:lineRule="auto"/>
    </w:pPr>
    <w:rPr>
      <w:sz w:val="24"/>
      <w:szCs w:val="24"/>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aption">
    <w:name w:val="caption"/>
    <w:basedOn w:val="Normal"/>
    <w:next w:val="Normal"/>
    <w:uiPriority w:val="35"/>
    <w:unhideWhenUsed/>
    <w:qFormat/>
    <w:rsid w:val="00C03044"/>
    <w:pPr>
      <w:spacing w:after="200" w:line="240" w:lineRule="auto"/>
    </w:pPr>
    <w:rPr>
      <w:rFonts w:ascii="Times New Roman" w:hAnsi="Times New Roman"/>
      <w:i/>
      <w:iCs/>
      <w:color w:val="44546A" w:themeColor="text2"/>
      <w:sz w:val="18"/>
      <w:szCs w:val="18"/>
      <w:lang w:val="en-US"/>
    </w:rPr>
  </w:style>
  <w:style w:type="table" w:styleId="TableGrid">
    <w:name w:val="Table Grid"/>
    <w:basedOn w:val="TableNormal"/>
    <w:uiPriority w:val="39"/>
    <w:rsid w:val="00C0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396"/>
  </w:style>
  <w:style w:type="paragraph" w:styleId="Footer">
    <w:name w:val="footer"/>
    <w:basedOn w:val="Normal"/>
    <w:link w:val="FooterChar"/>
    <w:uiPriority w:val="99"/>
    <w:unhideWhenUsed/>
    <w:rsid w:val="00933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396"/>
  </w:style>
  <w:style w:type="character" w:styleId="Hyperlink">
    <w:name w:val="Hyperlink"/>
    <w:basedOn w:val="DefaultParagraphFont"/>
    <w:uiPriority w:val="99"/>
    <w:unhideWhenUsed/>
    <w:rsid w:val="00781D2A"/>
    <w:rPr>
      <w:color w:val="0563C1" w:themeColor="hyperlink"/>
      <w:u w:val="single"/>
    </w:rPr>
  </w:style>
  <w:style w:type="paragraph" w:styleId="BalloonText">
    <w:name w:val="Balloon Text"/>
    <w:basedOn w:val="Normal"/>
    <w:link w:val="BalloonTextChar"/>
    <w:uiPriority w:val="99"/>
    <w:semiHidden/>
    <w:unhideWhenUsed/>
    <w:rsid w:val="00E7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C3"/>
    <w:rPr>
      <w:rFonts w:ascii="Segoe UI" w:hAnsi="Segoe UI" w:cs="Segoe UI"/>
      <w:sz w:val="18"/>
      <w:szCs w:val="18"/>
    </w:rPr>
  </w:style>
  <w:style w:type="character" w:styleId="CommentReference">
    <w:name w:val="annotation reference"/>
    <w:basedOn w:val="DefaultParagraphFont"/>
    <w:uiPriority w:val="99"/>
    <w:semiHidden/>
    <w:unhideWhenUsed/>
    <w:rsid w:val="00E743C3"/>
    <w:rPr>
      <w:sz w:val="16"/>
      <w:szCs w:val="16"/>
    </w:rPr>
  </w:style>
  <w:style w:type="paragraph" w:styleId="CommentText">
    <w:name w:val="annotation text"/>
    <w:basedOn w:val="Normal"/>
    <w:link w:val="CommentTextChar"/>
    <w:uiPriority w:val="99"/>
    <w:semiHidden/>
    <w:unhideWhenUsed/>
    <w:rsid w:val="00E743C3"/>
    <w:pPr>
      <w:spacing w:line="240" w:lineRule="auto"/>
    </w:pPr>
    <w:rPr>
      <w:sz w:val="20"/>
      <w:szCs w:val="20"/>
    </w:rPr>
  </w:style>
  <w:style w:type="character" w:customStyle="1" w:styleId="CommentTextChar">
    <w:name w:val="Comment Text Char"/>
    <w:basedOn w:val="DefaultParagraphFont"/>
    <w:link w:val="CommentText"/>
    <w:uiPriority w:val="99"/>
    <w:semiHidden/>
    <w:rsid w:val="00E743C3"/>
    <w:rPr>
      <w:sz w:val="20"/>
      <w:szCs w:val="20"/>
    </w:rPr>
  </w:style>
  <w:style w:type="paragraph" w:styleId="CommentSubject">
    <w:name w:val="annotation subject"/>
    <w:basedOn w:val="CommentText"/>
    <w:next w:val="CommentText"/>
    <w:link w:val="CommentSubjectChar"/>
    <w:uiPriority w:val="99"/>
    <w:semiHidden/>
    <w:unhideWhenUsed/>
    <w:rsid w:val="00E743C3"/>
    <w:rPr>
      <w:b/>
      <w:bCs/>
    </w:rPr>
  </w:style>
  <w:style w:type="character" w:customStyle="1" w:styleId="CommentSubjectChar">
    <w:name w:val="Comment Subject Char"/>
    <w:basedOn w:val="CommentTextChar"/>
    <w:link w:val="CommentSubject"/>
    <w:uiPriority w:val="99"/>
    <w:semiHidden/>
    <w:rsid w:val="00E74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mailto:R.Raja@soton.ac.uk"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mailto:M.E.Potter@soton.ac.uk" TargetMode="Externa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www.casaxps.com/"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M.E.</dc:creator>
  <cp:keywords/>
  <dc:description/>
  <cp:lastModifiedBy>Potter M.E.</cp:lastModifiedBy>
  <cp:revision>3</cp:revision>
  <dcterms:created xsi:type="dcterms:W3CDTF">2019-05-31T08:20:00Z</dcterms:created>
  <dcterms:modified xsi:type="dcterms:W3CDTF">2019-05-31T08:20:00Z</dcterms:modified>
</cp:coreProperties>
</file>