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6" w:rsidRPr="001D69B6" w:rsidRDefault="001D69B6" w:rsidP="001D69B6">
      <w:pPr>
        <w:spacing w:before="720" w:after="360" w:line="480" w:lineRule="auto"/>
        <w:jc w:val="center"/>
        <w:rPr>
          <w:rFonts w:ascii="Times New Roman" w:eastAsia="Times New Roman" w:hAnsi="Times New Roman" w:cs="Times New Roman"/>
          <w:sz w:val="28"/>
          <w:szCs w:val="12"/>
        </w:rPr>
      </w:pPr>
      <w:r w:rsidRPr="001D69B6">
        <w:rPr>
          <w:rFonts w:ascii="Times New Roman" w:eastAsia="Times New Roman" w:hAnsi="Times New Roman" w:cs="Times New Roman"/>
          <w:sz w:val="28"/>
          <w:szCs w:val="12"/>
        </w:rPr>
        <w:t xml:space="preserve">A high yield gold </w:t>
      </w:r>
      <w:r w:rsidRPr="001D69B6">
        <w:rPr>
          <w:rFonts w:ascii="Times New Roman" w:eastAsia="Times New Roman" w:hAnsi="Times New Roman" w:cs="Times New Roman"/>
          <w:noProof/>
          <w:sz w:val="28"/>
          <w:szCs w:val="12"/>
        </w:rPr>
        <w:t>nanoparticle-based</w:t>
      </w:r>
      <w:r w:rsidRPr="001D69B6">
        <w:rPr>
          <w:rFonts w:ascii="Times New Roman" w:eastAsia="Times New Roman" w:hAnsi="Times New Roman" w:cs="Times New Roman"/>
          <w:sz w:val="28"/>
          <w:szCs w:val="12"/>
        </w:rPr>
        <w:t xml:space="preserve"> DNA isolation method for human papillomaviruses genotypes from cervical cancer tissue samples</w:t>
      </w:r>
    </w:p>
    <w:p w:rsidR="001D69B6" w:rsidRPr="001D69B6" w:rsidRDefault="001D69B6" w:rsidP="001D69B6">
      <w:pPr>
        <w:spacing w:after="240" w:line="276" w:lineRule="auto"/>
        <w:jc w:val="center"/>
        <w:rPr>
          <w:rFonts w:ascii="Times New Roman" w:eastAsia="Times New Roman" w:hAnsi="Times New Roman" w:cs="Times New Roman"/>
          <w:iCs/>
          <w:sz w:val="20"/>
          <w:szCs w:val="16"/>
        </w:rPr>
      </w:pPr>
      <w:r w:rsidRPr="001D69B6">
        <w:rPr>
          <w:rFonts w:ascii="Times New Roman" w:eastAsia="Times New Roman" w:hAnsi="Times New Roman" w:cs="Times New Roman"/>
          <w:iCs/>
          <w:sz w:val="20"/>
          <w:szCs w:val="16"/>
        </w:rPr>
        <w:t>Noorossadat Seyyedi</w:t>
      </w:r>
      <w:r w:rsidRPr="001D69B6">
        <w:rPr>
          <w:rFonts w:ascii="Times New Roman" w:eastAsia="Times New Roman" w:hAnsi="Times New Roman" w:cs="Times New Roman"/>
          <w:iCs/>
          <w:sz w:val="20"/>
          <w:szCs w:val="16"/>
          <w:vertAlign w:val="superscript"/>
        </w:rPr>
        <w:t>1,2</w:t>
      </w:r>
      <w:r w:rsidRPr="001D69B6">
        <w:rPr>
          <w:rFonts w:ascii="Times New Roman" w:eastAsia="Times New Roman" w:hAnsi="Times New Roman" w:cs="Times New Roman"/>
          <w:iCs/>
          <w:sz w:val="20"/>
          <w:szCs w:val="16"/>
        </w:rPr>
        <w:t>, Fatemeh Farjadian</w:t>
      </w:r>
      <w:r w:rsidRPr="001D69B6">
        <w:rPr>
          <w:rFonts w:ascii="Times New Roman" w:eastAsia="Times New Roman" w:hAnsi="Times New Roman" w:cs="Times New Roman"/>
          <w:iCs/>
          <w:sz w:val="20"/>
          <w:szCs w:val="16"/>
          <w:vertAlign w:val="superscript"/>
        </w:rPr>
        <w:t>3</w:t>
      </w:r>
      <w:r w:rsidRPr="001D69B6">
        <w:rPr>
          <w:rFonts w:ascii="Times New Roman" w:eastAsia="Times New Roman" w:hAnsi="Times New Roman" w:cs="Times New Roman"/>
          <w:iCs/>
          <w:sz w:val="20"/>
          <w:szCs w:val="16"/>
        </w:rPr>
        <w:t>, Ali Farhadi</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xml:space="preserve">, Gholamreza </w:t>
      </w:r>
      <w:r w:rsidRPr="001D69B6">
        <w:rPr>
          <w:rFonts w:ascii="Times New Roman" w:eastAsia="Times New Roman" w:hAnsi="Times New Roman" w:cs="Times New Roman"/>
          <w:iCs/>
          <w:noProof/>
          <w:sz w:val="20"/>
          <w:szCs w:val="16"/>
        </w:rPr>
        <w:t>Rafiei</w:t>
      </w:r>
      <w:r w:rsidRPr="001D69B6">
        <w:rPr>
          <w:rFonts w:ascii="Times New Roman" w:eastAsia="Times New Roman" w:hAnsi="Times New Roman" w:cs="Times New Roman"/>
          <w:iCs/>
          <w:sz w:val="20"/>
          <w:szCs w:val="16"/>
        </w:rPr>
        <w:t xml:space="preserve"> Dehbidi</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Reza Ranjbaran</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Farahnaz Zare</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Mohammad Ali Okhovat</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Negin Nikouyan</w:t>
      </w: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 Abbas Behzad-Behbahani</w:t>
      </w:r>
      <w:r w:rsidRPr="001D69B6">
        <w:rPr>
          <w:rFonts w:ascii="Times New Roman" w:eastAsia="Times New Roman" w:hAnsi="Times New Roman" w:cs="Times New Roman"/>
          <w:iCs/>
          <w:sz w:val="20"/>
          <w:szCs w:val="16"/>
          <w:vertAlign w:val="superscript"/>
        </w:rPr>
        <w:t>1*</w:t>
      </w:r>
    </w:p>
    <w:p w:rsidR="001D69B6" w:rsidRPr="001D69B6" w:rsidRDefault="001D69B6" w:rsidP="001D69B6">
      <w:pPr>
        <w:spacing w:after="240" w:line="276" w:lineRule="auto"/>
        <w:jc w:val="center"/>
        <w:rPr>
          <w:rFonts w:ascii="Times New Roman" w:eastAsia="Times New Roman" w:hAnsi="Times New Roman" w:cs="Times New Roman"/>
          <w:iCs/>
          <w:sz w:val="20"/>
          <w:szCs w:val="16"/>
        </w:rPr>
      </w:pPr>
      <w:r w:rsidRPr="001D69B6">
        <w:rPr>
          <w:rFonts w:ascii="Times New Roman" w:eastAsia="Times New Roman" w:hAnsi="Times New Roman" w:cs="Times New Roman"/>
          <w:iCs/>
          <w:sz w:val="20"/>
          <w:szCs w:val="16"/>
          <w:vertAlign w:val="superscript"/>
        </w:rPr>
        <w:t>1</w:t>
      </w:r>
      <w:r w:rsidRPr="001D69B6">
        <w:rPr>
          <w:rFonts w:ascii="Times New Roman" w:eastAsia="Times New Roman" w:hAnsi="Times New Roman" w:cs="Times New Roman"/>
          <w:iCs/>
          <w:sz w:val="20"/>
          <w:szCs w:val="16"/>
        </w:rPr>
        <w:t>Diagnostic Laboratory Sciences and Technology Research Center, School of Paramedical Sciences, Shiraz University of Medical Sciences, Shiraz, Iran</w:t>
      </w:r>
    </w:p>
    <w:p w:rsidR="001D69B6" w:rsidRPr="001D69B6" w:rsidRDefault="001D69B6" w:rsidP="001D69B6">
      <w:pPr>
        <w:spacing w:after="240" w:line="276" w:lineRule="auto"/>
        <w:jc w:val="center"/>
        <w:rPr>
          <w:rFonts w:ascii="Times New Roman" w:eastAsia="Times New Roman" w:hAnsi="Times New Roman" w:cs="Times New Roman"/>
          <w:iCs/>
          <w:sz w:val="20"/>
          <w:szCs w:val="16"/>
        </w:rPr>
      </w:pPr>
      <w:r w:rsidRPr="001D69B6">
        <w:rPr>
          <w:rFonts w:ascii="Times New Roman" w:eastAsia="Times New Roman" w:hAnsi="Times New Roman" w:cs="Times New Roman"/>
          <w:iCs/>
          <w:sz w:val="20"/>
          <w:szCs w:val="16"/>
          <w:vertAlign w:val="superscript"/>
        </w:rPr>
        <w:t>2</w:t>
      </w:r>
      <w:r w:rsidRPr="001D69B6">
        <w:rPr>
          <w:rFonts w:ascii="Times New Roman" w:eastAsia="Times New Roman" w:hAnsi="Times New Roman" w:cs="Times New Roman"/>
          <w:iCs/>
          <w:sz w:val="20"/>
          <w:szCs w:val="16"/>
        </w:rPr>
        <w:t>Department of Medical Biotechnology, School of Paramedical Sciences, Shiraz University of Medical Sciences, Shiraz, Iran</w:t>
      </w:r>
    </w:p>
    <w:p w:rsidR="001D69B6" w:rsidRPr="001D69B6" w:rsidRDefault="001D69B6" w:rsidP="001D69B6">
      <w:pPr>
        <w:spacing w:after="240" w:line="276" w:lineRule="auto"/>
        <w:jc w:val="center"/>
        <w:rPr>
          <w:rFonts w:ascii="Times New Roman" w:eastAsia="Times New Roman" w:hAnsi="Times New Roman" w:cs="Times New Roman"/>
          <w:iCs/>
          <w:sz w:val="20"/>
          <w:szCs w:val="16"/>
        </w:rPr>
      </w:pPr>
      <w:r w:rsidRPr="001D69B6">
        <w:rPr>
          <w:rFonts w:ascii="Times New Roman" w:eastAsia="Times New Roman" w:hAnsi="Times New Roman" w:cs="Times New Roman"/>
          <w:iCs/>
          <w:sz w:val="20"/>
          <w:szCs w:val="16"/>
          <w:vertAlign w:val="superscript"/>
        </w:rPr>
        <w:t>3</w:t>
      </w:r>
      <w:r w:rsidRPr="001D69B6">
        <w:rPr>
          <w:rFonts w:ascii="Times New Roman" w:eastAsia="Times New Roman" w:hAnsi="Times New Roman" w:cs="Times New Roman"/>
          <w:iCs/>
          <w:sz w:val="20"/>
          <w:szCs w:val="16"/>
        </w:rPr>
        <w:t>Pharmaceutical Sciences Research Center, Shiraz University of Medical Sciences, Shiraz, Iran</w:t>
      </w:r>
    </w:p>
    <w:p w:rsidR="001D69B6" w:rsidRPr="001D69B6" w:rsidRDefault="001D69B6" w:rsidP="001D69B6">
      <w:pPr>
        <w:spacing w:after="200" w:line="276" w:lineRule="auto"/>
        <w:jc w:val="both"/>
        <w:rPr>
          <w:rFonts w:ascii="Times" w:eastAsia="Times New Roman" w:hAnsi="Times" w:cs="Times New Roman"/>
          <w:b/>
          <w:bCs/>
          <w:sz w:val="20"/>
          <w:szCs w:val="16"/>
        </w:rPr>
      </w:pPr>
    </w:p>
    <w:p w:rsidR="001D69B6" w:rsidRPr="001D69B6" w:rsidRDefault="001D69B6" w:rsidP="001D69B6">
      <w:pPr>
        <w:spacing w:after="200" w:line="276" w:lineRule="auto"/>
        <w:jc w:val="both"/>
        <w:rPr>
          <w:rFonts w:ascii="Times" w:eastAsia="Times New Roman" w:hAnsi="Times" w:cs="Times New Roman"/>
          <w:b/>
          <w:bCs/>
          <w:sz w:val="20"/>
          <w:szCs w:val="16"/>
        </w:rPr>
      </w:pPr>
    </w:p>
    <w:p w:rsidR="001D69B6" w:rsidRPr="001D69B6" w:rsidRDefault="001D69B6" w:rsidP="001D69B6">
      <w:pPr>
        <w:spacing w:after="200" w:line="276" w:lineRule="auto"/>
        <w:jc w:val="both"/>
        <w:rPr>
          <w:rFonts w:ascii="Times" w:eastAsia="Times New Roman" w:hAnsi="Times" w:cs="Times New Roman"/>
          <w:b/>
          <w:bCs/>
          <w:sz w:val="20"/>
          <w:szCs w:val="16"/>
        </w:rPr>
      </w:pPr>
    </w:p>
    <w:p w:rsidR="001D69B6" w:rsidRPr="001D69B6" w:rsidRDefault="001D69B6" w:rsidP="001D69B6">
      <w:pPr>
        <w:spacing w:after="0" w:line="480" w:lineRule="auto"/>
        <w:ind w:firstLine="202"/>
        <w:jc w:val="both"/>
        <w:rPr>
          <w:rFonts w:ascii="Times" w:eastAsia="Times New Roman" w:hAnsi="Times" w:cs="Times New Roman"/>
          <w:sz w:val="24"/>
          <w:szCs w:val="20"/>
        </w:rPr>
      </w:pPr>
    </w:p>
    <w:p w:rsidR="001D69B6" w:rsidRPr="001D69B6" w:rsidRDefault="001D69B6" w:rsidP="001D69B6">
      <w:pPr>
        <w:spacing w:after="0" w:line="480" w:lineRule="auto"/>
        <w:ind w:firstLine="202"/>
        <w:jc w:val="both"/>
        <w:rPr>
          <w:rFonts w:ascii="Times" w:eastAsia="Times New Roman" w:hAnsi="Times" w:cs="Times New Roman"/>
          <w:sz w:val="24"/>
          <w:szCs w:val="20"/>
        </w:rPr>
      </w:pPr>
    </w:p>
    <w:p w:rsidR="001D69B6" w:rsidRPr="001D69B6" w:rsidRDefault="001D69B6" w:rsidP="001D69B6">
      <w:pPr>
        <w:spacing w:after="200" w:line="276" w:lineRule="auto"/>
        <w:jc w:val="both"/>
        <w:rPr>
          <w:rFonts w:ascii="Times" w:eastAsia="Times New Roman" w:hAnsi="Times" w:cs="Times New Roman"/>
          <w:b/>
          <w:bCs/>
          <w:sz w:val="20"/>
          <w:szCs w:val="16"/>
        </w:rPr>
      </w:pPr>
      <w:r w:rsidRPr="001D69B6">
        <w:rPr>
          <w:rFonts w:ascii="Times" w:eastAsia="Times New Roman" w:hAnsi="Times" w:cs="Times New Roman"/>
          <w:b/>
          <w:bCs/>
          <w:sz w:val="20"/>
          <w:szCs w:val="16"/>
        </w:rPr>
        <w:t>*Corresponding Author</w:t>
      </w:r>
    </w:p>
    <w:p w:rsidR="001D69B6" w:rsidRPr="001D69B6" w:rsidRDefault="001D69B6" w:rsidP="001D69B6">
      <w:pPr>
        <w:spacing w:after="200" w:line="276" w:lineRule="auto"/>
        <w:jc w:val="both"/>
        <w:rPr>
          <w:rFonts w:ascii="Times" w:eastAsia="Times New Roman" w:hAnsi="Times" w:cs="Times New Roman"/>
          <w:sz w:val="20"/>
          <w:szCs w:val="16"/>
        </w:rPr>
      </w:pPr>
      <w:r w:rsidRPr="001D69B6">
        <w:rPr>
          <w:rFonts w:ascii="Times" w:eastAsia="Times New Roman" w:hAnsi="Times" w:cs="Times New Roman"/>
          <w:sz w:val="20"/>
          <w:szCs w:val="16"/>
        </w:rPr>
        <w:t xml:space="preserve">Abbas Behzad-Behbahani </w:t>
      </w:r>
    </w:p>
    <w:p w:rsidR="001D69B6" w:rsidRPr="001D69B6" w:rsidRDefault="001D69B6" w:rsidP="001D69B6">
      <w:pPr>
        <w:spacing w:after="200" w:line="276" w:lineRule="auto"/>
        <w:jc w:val="both"/>
        <w:rPr>
          <w:rFonts w:ascii="Times" w:eastAsia="Times New Roman" w:hAnsi="Times" w:cs="Times New Roman"/>
          <w:sz w:val="20"/>
          <w:szCs w:val="16"/>
        </w:rPr>
      </w:pPr>
      <w:r w:rsidRPr="001D69B6">
        <w:rPr>
          <w:rFonts w:ascii="Times" w:eastAsia="Times New Roman" w:hAnsi="Times" w:cs="Times New Roman"/>
          <w:sz w:val="20"/>
          <w:szCs w:val="16"/>
        </w:rPr>
        <w:t>Present address: Diagnosis Laboratory Sciences and Technology Research Center, School of Paramedical Sciences, Shiraz University of Medical Sciences, Shiraz, Iran.</w:t>
      </w:r>
    </w:p>
    <w:p w:rsidR="001D69B6" w:rsidRPr="001D69B6" w:rsidRDefault="001D69B6" w:rsidP="001D69B6">
      <w:pPr>
        <w:spacing w:after="200" w:line="276" w:lineRule="auto"/>
        <w:jc w:val="both"/>
        <w:rPr>
          <w:rFonts w:ascii="Times" w:eastAsia="Times New Roman" w:hAnsi="Times" w:cs="Times New Roman"/>
          <w:sz w:val="20"/>
          <w:szCs w:val="16"/>
        </w:rPr>
      </w:pPr>
      <w:r w:rsidRPr="001D69B6">
        <w:rPr>
          <w:rFonts w:ascii="Times" w:eastAsia="Times New Roman" w:hAnsi="Times" w:cs="Times New Roman"/>
          <w:sz w:val="20"/>
          <w:szCs w:val="16"/>
        </w:rPr>
        <w:t>Tel: +98 71 32270301</w:t>
      </w:r>
    </w:p>
    <w:p w:rsidR="001D69B6" w:rsidRPr="001D69B6" w:rsidRDefault="001D69B6" w:rsidP="001D69B6">
      <w:pPr>
        <w:spacing w:after="200" w:line="276" w:lineRule="auto"/>
        <w:jc w:val="both"/>
        <w:rPr>
          <w:rFonts w:ascii="Times" w:eastAsia="Times New Roman" w:hAnsi="Times" w:cs="Times New Roman"/>
          <w:sz w:val="20"/>
          <w:szCs w:val="16"/>
        </w:rPr>
      </w:pPr>
      <w:r w:rsidRPr="001D69B6">
        <w:rPr>
          <w:rFonts w:ascii="Times" w:eastAsia="Times New Roman" w:hAnsi="Times" w:cs="Times New Roman"/>
          <w:sz w:val="20"/>
          <w:szCs w:val="16"/>
        </w:rPr>
        <w:t>Fax: +98 71 32270301</w:t>
      </w:r>
    </w:p>
    <w:p w:rsidR="001D69B6" w:rsidRPr="001D69B6" w:rsidRDefault="001D69B6" w:rsidP="001D69B6">
      <w:pPr>
        <w:spacing w:after="200" w:line="276" w:lineRule="auto"/>
        <w:jc w:val="both"/>
        <w:rPr>
          <w:rFonts w:ascii="Times" w:eastAsia="Times New Roman" w:hAnsi="Times" w:cs="Times New Roman"/>
          <w:sz w:val="20"/>
          <w:szCs w:val="16"/>
        </w:rPr>
      </w:pPr>
      <w:r w:rsidRPr="001D69B6">
        <w:rPr>
          <w:rFonts w:ascii="Times" w:eastAsia="Times New Roman" w:hAnsi="Times" w:cs="Times New Roman"/>
          <w:sz w:val="20"/>
          <w:szCs w:val="16"/>
        </w:rPr>
        <w:t>Email address: behzadba@sums.ac.ir</w:t>
      </w:r>
    </w:p>
    <w:p w:rsidR="001D69B6" w:rsidRPr="001D69B6" w:rsidRDefault="001D69B6" w:rsidP="001D69B6">
      <w:pPr>
        <w:spacing w:after="0" w:line="480" w:lineRule="auto"/>
        <w:jc w:val="both"/>
        <w:rPr>
          <w:rFonts w:ascii="Times New Roman" w:eastAsia="Times New Roman" w:hAnsi="Times New Roman" w:cs="Times New Roman"/>
          <w:sz w:val="20"/>
          <w:szCs w:val="16"/>
        </w:rPr>
      </w:pPr>
      <w:r w:rsidRPr="001D69B6">
        <w:rPr>
          <w:rFonts w:ascii="Times" w:eastAsia="Times New Roman" w:hAnsi="Times" w:cs="Times New Roman"/>
          <w:sz w:val="20"/>
          <w:szCs w:val="16"/>
        </w:rPr>
        <w:t xml:space="preserve">Alternative Email address: behzadba@gmail.com  </w:t>
      </w:r>
    </w:p>
    <w:p w:rsidR="001D69B6" w:rsidRPr="001D69B6" w:rsidRDefault="001D69B6" w:rsidP="001D69B6">
      <w:pPr>
        <w:spacing w:after="200" w:line="480" w:lineRule="auto"/>
        <w:jc w:val="both"/>
        <w:rPr>
          <w:rFonts w:ascii="Times New Roman" w:eastAsia="Times New Roman" w:hAnsi="Times New Roman" w:cs="Times New Roman"/>
          <w:sz w:val="24"/>
          <w:szCs w:val="20"/>
        </w:rPr>
      </w:pPr>
    </w:p>
    <w:p w:rsidR="00D82EAE" w:rsidRDefault="00D82EAE" w:rsidP="001D69B6">
      <w:pPr>
        <w:spacing w:after="0" w:line="480" w:lineRule="auto"/>
        <w:jc w:val="both"/>
        <w:rPr>
          <w:rFonts w:ascii="Times" w:eastAsia="Calibri" w:hAnsi="Times" w:cs="Times New Roman"/>
          <w:sz w:val="24"/>
          <w:szCs w:val="20"/>
          <w:lang w:bidi="fa-IR"/>
        </w:rPr>
      </w:pPr>
    </w:p>
    <w:p w:rsidR="00D82EAE" w:rsidRPr="00D82EAE" w:rsidRDefault="00D82EAE" w:rsidP="00D82EAE">
      <w:pPr>
        <w:spacing w:after="0" w:line="480" w:lineRule="auto"/>
        <w:ind w:firstLine="202"/>
        <w:jc w:val="both"/>
        <w:rPr>
          <w:rFonts w:ascii="Times" w:eastAsia="Calibri" w:hAnsi="Times" w:cs="Times New Roman"/>
          <w:sz w:val="24"/>
          <w:szCs w:val="20"/>
          <w:lang w:bidi="fa-IR"/>
        </w:rPr>
      </w:pPr>
    </w:p>
    <w:p w:rsidR="00D82EAE" w:rsidRPr="00D82EAE" w:rsidRDefault="00D82EAE" w:rsidP="00D82EAE">
      <w:pPr>
        <w:numPr>
          <w:ilvl w:val="0"/>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lastRenderedPageBreak/>
        <w:t>Experimental procedures</w:t>
      </w:r>
    </w:p>
    <w:p w:rsidR="00D82EAE" w:rsidRPr="00D82EAE" w:rsidRDefault="00D82EAE" w:rsidP="00D82EAE">
      <w:pPr>
        <w:numPr>
          <w:ilvl w:val="1"/>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 xml:space="preserve"> Materials</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pHPV-16 (ATCC® 45113D) and HPV-18 (ATCC® 45152D) purified plasmid DNAs were purchased from American Type Culture Collection (ATCC) (USA). Plasmid vector </w:t>
      </w:r>
      <w:proofErr w:type="spellStart"/>
      <w:r w:rsidRPr="00D82EAE">
        <w:rPr>
          <w:rFonts w:ascii="Times" w:eastAsia="Calibri" w:hAnsi="Times" w:cs="Times New Roman"/>
          <w:sz w:val="24"/>
          <w:szCs w:val="20"/>
        </w:rPr>
        <w:t>pBME</w:t>
      </w:r>
      <w:proofErr w:type="spellEnd"/>
      <w:r w:rsidRPr="00D82EAE">
        <w:rPr>
          <w:rFonts w:ascii="Times" w:eastAsia="Calibri" w:hAnsi="Times" w:cs="Times New Roman"/>
          <w:sz w:val="24"/>
          <w:szCs w:val="20"/>
        </w:rPr>
        <w:t xml:space="preserve"> containing a synthetic partial DNA sequence of the L1 ORF of HPV genotypes 45, 52, and 58 was purchased from Biomatik (Canada). Chloroauric acid, </w:t>
      </w:r>
      <w:r w:rsidRPr="00D82EAE">
        <w:rPr>
          <w:rFonts w:ascii="Times" w:eastAsia="Calibri" w:hAnsi="Times" w:cs="Times New Roman"/>
          <w:noProof/>
          <w:sz w:val="24"/>
          <w:szCs w:val="20"/>
        </w:rPr>
        <w:t>trisodium</w:t>
      </w:r>
      <w:r w:rsidRPr="00D82EAE">
        <w:rPr>
          <w:rFonts w:ascii="Times" w:eastAsia="Calibri" w:hAnsi="Times" w:cs="Times New Roman"/>
          <w:sz w:val="24"/>
          <w:szCs w:val="20"/>
        </w:rPr>
        <w:t xml:space="preserve"> citrate, </w:t>
      </w:r>
      <w:r w:rsidRPr="00D82EAE">
        <w:rPr>
          <w:rFonts w:ascii="Times" w:eastAsia="Calibri" w:hAnsi="Times" w:cs="Times New Roman"/>
          <w:noProof/>
          <w:sz w:val="24"/>
          <w:szCs w:val="20"/>
        </w:rPr>
        <w:t>and</w:t>
      </w:r>
      <w:r w:rsidRPr="00D82EAE">
        <w:rPr>
          <w:rFonts w:ascii="Times" w:eastAsia="Calibri" w:hAnsi="Times" w:cs="Times New Roman"/>
          <w:sz w:val="24"/>
          <w:szCs w:val="20"/>
        </w:rPr>
        <w:t xml:space="preserve"> sodium borohydride were purchased from Sigma (Germany). TA cloning vector pTZ57R and all restriction digestion enzymes were purchased from Thermo Fisher Scientific Inc. (Lithuania). Primers and the probes were purchased from Metabion AG (Germany). SYBR Premix ExTaq II (Tli RNaseH Plus) was purchased from </w:t>
      </w:r>
      <w:r w:rsidRPr="00D82EAE">
        <w:rPr>
          <w:rFonts w:ascii="Times" w:eastAsia="Calibri" w:hAnsi="Times" w:cs="Times New Roman"/>
          <w:noProof/>
          <w:sz w:val="24"/>
          <w:szCs w:val="20"/>
        </w:rPr>
        <w:t>Takara</w:t>
      </w:r>
      <w:r w:rsidRPr="00D82EAE">
        <w:rPr>
          <w:rFonts w:ascii="Times" w:eastAsia="Calibri" w:hAnsi="Times" w:cs="Times New Roman"/>
          <w:sz w:val="24"/>
          <w:szCs w:val="20"/>
        </w:rPr>
        <w:t xml:space="preserve"> (Japan). GF-1 plasmid DNA </w:t>
      </w:r>
      <w:r w:rsidRPr="00D82EAE">
        <w:rPr>
          <w:rFonts w:ascii="Times" w:eastAsia="Calibri" w:hAnsi="Times" w:cs="Times New Roman"/>
          <w:noProof/>
          <w:sz w:val="24"/>
          <w:szCs w:val="20"/>
        </w:rPr>
        <w:t>extraction</w:t>
      </w:r>
      <w:r w:rsidRPr="00D82EAE">
        <w:rPr>
          <w:rFonts w:ascii="Times" w:eastAsia="Calibri" w:hAnsi="Times" w:cs="Times New Roman"/>
          <w:sz w:val="24"/>
          <w:szCs w:val="20"/>
        </w:rPr>
        <w:t xml:space="preserve"> Kit and GF-1 Gel DNA Recovery Kit were purchased from Vivantis (Malaysia). The QIAamp DNA FFPE Tissue Kit was purchased from Qiagen (Germany). </w:t>
      </w:r>
      <w:r w:rsidRPr="00D82EAE">
        <w:rPr>
          <w:rFonts w:ascii="Times" w:eastAsia="Calibri" w:hAnsi="Times" w:cs="Times New Roman"/>
          <w:noProof/>
          <w:sz w:val="24"/>
          <w:szCs w:val="20"/>
        </w:rPr>
        <w:t>Ampliquality</w:t>
      </w:r>
      <w:r w:rsidRPr="00D82EAE">
        <w:rPr>
          <w:rFonts w:ascii="Times" w:eastAsia="Calibri" w:hAnsi="Times" w:cs="Times New Roman"/>
          <w:sz w:val="24"/>
          <w:szCs w:val="20"/>
        </w:rPr>
        <w:t xml:space="preserve"> HPV-TYPE kit was purchased from AB Analitica (Italy). All other chemicals were purchased from Merck (Germany).</w:t>
      </w:r>
    </w:p>
    <w:p w:rsidR="00D82EAE" w:rsidRPr="00D82EAE" w:rsidRDefault="00D82EAE" w:rsidP="00D82EAE">
      <w:pPr>
        <w:numPr>
          <w:ilvl w:val="1"/>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 xml:space="preserve"> Instruments</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A UV/Visible Spectrophotometer (WPA Lightwave II /Biochrom, US/UK) was used to determine the ultraviolet-visible/UV-vis absorption and to determine the range of amplicon concentration. Hydrodynamic diameter (HD) of the particles </w:t>
      </w:r>
      <w:r w:rsidRPr="00D82EAE">
        <w:rPr>
          <w:rFonts w:ascii="Times" w:eastAsia="Calibri" w:hAnsi="Times" w:cs="Times New Roman"/>
          <w:noProof/>
          <w:sz w:val="24"/>
          <w:szCs w:val="20"/>
        </w:rPr>
        <w:t>was</w:t>
      </w:r>
      <w:r w:rsidRPr="00D82EAE">
        <w:rPr>
          <w:rFonts w:ascii="Times" w:eastAsia="Calibri" w:hAnsi="Times" w:cs="Times New Roman"/>
          <w:sz w:val="24"/>
          <w:szCs w:val="20"/>
        </w:rPr>
        <w:t xml:space="preserve"> confirmed by dynamic light scattering (DLS) instrument (NANO-flex, Microtrac, USA) and zeta potential was determined by Nano-ZS Zetasizer. Transmission electron microscopy/TEM image was </w:t>
      </w:r>
      <w:r w:rsidRPr="00D82EAE">
        <w:rPr>
          <w:rFonts w:ascii="Times" w:eastAsia="Calibri" w:hAnsi="Times" w:cs="Times New Roman"/>
          <w:noProof/>
          <w:sz w:val="24"/>
          <w:szCs w:val="20"/>
        </w:rPr>
        <w:t>captured by</w:t>
      </w:r>
      <w:r w:rsidRPr="00D82EAE">
        <w:rPr>
          <w:rFonts w:ascii="Times" w:eastAsia="Calibri" w:hAnsi="Times" w:cs="Times New Roman"/>
          <w:sz w:val="24"/>
          <w:szCs w:val="20"/>
        </w:rPr>
        <w:t xml:space="preserve"> Zeiss - EM10C - 80 KV (Zeiss, Germany)</w:t>
      </w:r>
      <w:r w:rsidRPr="00D82EAE">
        <w:rPr>
          <w:rFonts w:ascii="Times" w:eastAsia="Calibri" w:hAnsi="Times" w:cs="Times New Roman"/>
          <w:color w:val="000000"/>
          <w:sz w:val="24"/>
          <w:szCs w:val="24"/>
        </w:rPr>
        <w:t xml:space="preserve"> and particle size analyses were conducted using </w:t>
      </w:r>
      <w:proofErr w:type="spellStart"/>
      <w:r w:rsidRPr="00D82EAE">
        <w:rPr>
          <w:rFonts w:ascii="Times" w:eastAsia="Calibri" w:hAnsi="Times" w:cs="Times New Roman"/>
          <w:color w:val="000000"/>
          <w:sz w:val="24"/>
          <w:szCs w:val="24"/>
        </w:rPr>
        <w:t>ImageJ</w:t>
      </w:r>
      <w:proofErr w:type="spellEnd"/>
      <w:r w:rsidRPr="00D82EAE">
        <w:rPr>
          <w:rFonts w:ascii="Times" w:eastAsia="Calibri" w:hAnsi="Times" w:cs="Times New Roman"/>
          <w:color w:val="000000"/>
          <w:sz w:val="24"/>
          <w:szCs w:val="24"/>
        </w:rPr>
        <w:t xml:space="preserve"> software version 1.47v, an image analysis software developed by the NIH (http://imagejnihgov/ij/)</w:t>
      </w:r>
      <w:r w:rsidRPr="00D82EAE">
        <w:rPr>
          <w:rFonts w:ascii="Times" w:eastAsia="Calibri" w:hAnsi="Times" w:cs="Times New Roman"/>
          <w:sz w:val="24"/>
          <w:szCs w:val="20"/>
        </w:rPr>
        <w:t xml:space="preserve">. The amplification of extracted DNA was performed on a </w:t>
      </w:r>
      <w:r w:rsidRPr="00D82EAE">
        <w:rPr>
          <w:rFonts w:ascii="Times" w:eastAsia="Calibri" w:hAnsi="Times" w:cs="Times New Roman"/>
          <w:noProof/>
          <w:sz w:val="24"/>
          <w:szCs w:val="20"/>
        </w:rPr>
        <w:t>Rotor-Gene</w:t>
      </w:r>
      <w:r w:rsidRPr="00D82EAE">
        <w:rPr>
          <w:rFonts w:ascii="Times" w:eastAsia="Calibri" w:hAnsi="Times" w:cs="Times New Roman"/>
          <w:sz w:val="24"/>
          <w:szCs w:val="20"/>
        </w:rPr>
        <w:t xml:space="preserve"> Q </w:t>
      </w:r>
      <w:r w:rsidRPr="00D82EAE">
        <w:rPr>
          <w:rFonts w:ascii="Times" w:eastAsia="Calibri" w:hAnsi="Times" w:cs="Times New Roman"/>
          <w:sz w:val="24"/>
          <w:szCs w:val="20"/>
        </w:rPr>
        <w:lastRenderedPageBreak/>
        <w:t xml:space="preserve">5plex Platform real-time PCR system (QIAGEN, Germany) and data analysis were performed by </w:t>
      </w:r>
      <w:r w:rsidRPr="00D82EAE">
        <w:rPr>
          <w:rFonts w:ascii="Times" w:eastAsia="Calibri" w:hAnsi="Times" w:cs="Times New Roman"/>
          <w:noProof/>
          <w:sz w:val="24"/>
          <w:szCs w:val="20"/>
        </w:rPr>
        <w:t>Rotor-Gene</w:t>
      </w:r>
      <w:r w:rsidRPr="00D82EAE">
        <w:rPr>
          <w:rFonts w:ascii="Times" w:eastAsia="Calibri" w:hAnsi="Times" w:cs="Times New Roman"/>
          <w:sz w:val="24"/>
          <w:szCs w:val="20"/>
        </w:rPr>
        <w:t xml:space="preserve"> Q Series Software (QIAGEN, Germany/ version 2.0.2). </w:t>
      </w:r>
    </w:p>
    <w:p w:rsidR="00D82EAE" w:rsidRPr="00D82EAE" w:rsidRDefault="00D82EAE" w:rsidP="00D82EAE">
      <w:pPr>
        <w:numPr>
          <w:ilvl w:val="1"/>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 xml:space="preserve"> Methods</w:t>
      </w: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Plasmids and bacterial strains</w:t>
      </w:r>
    </w:p>
    <w:p w:rsidR="00D82EAE" w:rsidRPr="00D82EAE" w:rsidRDefault="00D82EAE" w:rsidP="00D82EAE">
      <w:pPr>
        <w:spacing w:after="0" w:line="480" w:lineRule="auto"/>
        <w:ind w:firstLine="202"/>
        <w:jc w:val="both"/>
        <w:rPr>
          <w:rFonts w:ascii="Times" w:eastAsia="Calibri" w:hAnsi="Times" w:cs="Times New Roman"/>
          <w:sz w:val="24"/>
          <w:szCs w:val="20"/>
          <w:rtl/>
          <w:lang w:bidi="fa-IR"/>
        </w:rPr>
      </w:pPr>
      <w:r w:rsidRPr="00D82EAE">
        <w:rPr>
          <w:rFonts w:ascii="Times" w:eastAsia="Calibri" w:hAnsi="Times" w:cs="Times New Roman"/>
          <w:sz w:val="24"/>
          <w:szCs w:val="20"/>
        </w:rPr>
        <w:t xml:space="preserve">HPV-16 and HPV-18 purified plasmid DNAs were received in </w:t>
      </w:r>
      <w:r w:rsidRPr="00D82EAE">
        <w:rPr>
          <w:rFonts w:ascii="Times" w:eastAsia="Calibri" w:hAnsi="Times" w:cs="Times New Roman"/>
          <w:i/>
          <w:iCs/>
          <w:sz w:val="24"/>
          <w:szCs w:val="20"/>
        </w:rPr>
        <w:t xml:space="preserve">Escherichia coli </w:t>
      </w:r>
      <w:r w:rsidRPr="00D82EAE">
        <w:rPr>
          <w:rFonts w:ascii="Times" w:eastAsia="Calibri" w:hAnsi="Times" w:cs="Times New Roman"/>
          <w:sz w:val="24"/>
          <w:szCs w:val="20"/>
        </w:rPr>
        <w:t xml:space="preserve">strain DH5α. A synthetic partial DNA sequence of the L1 ORF of HPV genotypes 45, 52, and 58 containing designed restriction endonuclease recognition sites (Bam HI, Hind III, Nde I) were also received in plasmid vector </w:t>
      </w:r>
      <w:r w:rsidRPr="00D82EAE">
        <w:rPr>
          <w:rFonts w:ascii="Times" w:eastAsia="Calibri" w:hAnsi="Times" w:cs="Times New Roman"/>
          <w:noProof/>
          <w:sz w:val="24"/>
          <w:szCs w:val="20"/>
        </w:rPr>
        <w:t>pBME</w:t>
      </w:r>
      <w:r w:rsidRPr="00D82EAE">
        <w:rPr>
          <w:rFonts w:ascii="Times" w:eastAsia="Calibri" w:hAnsi="Times" w:cs="Times New Roman"/>
          <w:sz w:val="24"/>
          <w:szCs w:val="20"/>
        </w:rPr>
        <w:t xml:space="preserve"> in </w:t>
      </w:r>
      <w:r w:rsidRPr="00D82EAE">
        <w:rPr>
          <w:rFonts w:ascii="Times" w:eastAsia="Calibri" w:hAnsi="Times" w:cs="Times New Roman"/>
          <w:i/>
          <w:iCs/>
          <w:sz w:val="24"/>
          <w:szCs w:val="20"/>
        </w:rPr>
        <w:t>Escherichia coli</w:t>
      </w:r>
      <w:r w:rsidRPr="00D82EAE">
        <w:rPr>
          <w:rFonts w:ascii="Times" w:eastAsia="Calibri" w:hAnsi="Times" w:cs="Times New Roman"/>
          <w:sz w:val="24"/>
          <w:szCs w:val="20"/>
        </w:rPr>
        <w:t xml:space="preserve"> strain DH5α</w:t>
      </w:r>
      <w:r w:rsidRPr="00D82EAE">
        <w:rPr>
          <w:rFonts w:ascii="Times" w:eastAsia="Calibri" w:hAnsi="Times" w:cs="Times New Roman"/>
          <w:noProof/>
          <w:sz w:val="24"/>
          <w:szCs w:val="20"/>
        </w:rPr>
        <w:t>.</w:t>
      </w:r>
      <w:r w:rsidRPr="00D82EAE">
        <w:rPr>
          <w:rFonts w:ascii="Times" w:eastAsia="Calibri" w:hAnsi="Times" w:cs="Times New Roman"/>
          <w:sz w:val="24"/>
          <w:szCs w:val="20"/>
        </w:rPr>
        <w:t xml:space="preserve"> Due to </w:t>
      </w:r>
      <w:r w:rsidRPr="00D82EAE">
        <w:rPr>
          <w:rFonts w:ascii="Times" w:eastAsia="Calibri" w:hAnsi="Times" w:cs="Times New Roman"/>
          <w:noProof/>
          <w:sz w:val="24"/>
          <w:szCs w:val="20"/>
        </w:rPr>
        <w:t>the existence</w:t>
      </w:r>
      <w:r w:rsidRPr="00D82EAE">
        <w:rPr>
          <w:rFonts w:ascii="Times" w:eastAsia="Calibri" w:hAnsi="Times" w:cs="Times New Roman"/>
          <w:sz w:val="24"/>
          <w:szCs w:val="20"/>
        </w:rPr>
        <w:t xml:space="preserve"> of partial nucleotide sequence homology among HPV-</w:t>
      </w:r>
      <w:r w:rsidRPr="00D82EAE">
        <w:rPr>
          <w:rFonts w:ascii="Times" w:eastAsia="Calibri" w:hAnsi="Times" w:cs="Times New Roman"/>
          <w:noProof/>
          <w:sz w:val="24"/>
          <w:szCs w:val="20"/>
        </w:rPr>
        <w:t>18,</w:t>
      </w:r>
      <w:r w:rsidRPr="00D82EAE">
        <w:rPr>
          <w:rFonts w:ascii="Times" w:eastAsia="Calibri" w:hAnsi="Times" w:cs="Times New Roman"/>
          <w:sz w:val="24"/>
          <w:szCs w:val="20"/>
        </w:rPr>
        <w:t xml:space="preserve"> 31, and 33, we used HPV-18 purified DNA plasmid as a source of HPV-31 and 33 DNA in our</w:t>
      </w:r>
      <w:r w:rsidRPr="00D82EAE" w:rsidDel="00612081">
        <w:rPr>
          <w:rFonts w:ascii="Times" w:eastAsia="Calibri" w:hAnsi="Times" w:cs="Times New Roman"/>
          <w:sz w:val="24"/>
          <w:szCs w:val="20"/>
        </w:rPr>
        <w:t xml:space="preserve"> </w:t>
      </w:r>
      <w:r w:rsidRPr="00D82EAE">
        <w:rPr>
          <w:rFonts w:ascii="Times" w:eastAsia="Calibri" w:hAnsi="Times" w:cs="Times New Roman"/>
          <w:sz w:val="24"/>
          <w:szCs w:val="20"/>
        </w:rPr>
        <w:t xml:space="preserve">experiment. </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Plasmids extraction and agarose gel purification of DNA after electrophoresis were performed according to the procedure described by the manufacturers. The purified plasmids were used as the controls during the study to develop efficient hybridization methods. Using defined restriction enzymes, </w:t>
      </w:r>
      <w:r w:rsidRPr="00D82EAE">
        <w:rPr>
          <w:rFonts w:ascii="Times" w:eastAsia="Calibri" w:hAnsi="Times" w:cs="Times New Roman"/>
          <w:noProof/>
          <w:sz w:val="24"/>
          <w:szCs w:val="20"/>
        </w:rPr>
        <w:t>type-specific</w:t>
      </w:r>
      <w:r w:rsidRPr="00D82EAE">
        <w:rPr>
          <w:rFonts w:ascii="Times" w:eastAsia="Calibri" w:hAnsi="Times" w:cs="Times New Roman"/>
          <w:sz w:val="24"/>
          <w:szCs w:val="20"/>
        </w:rPr>
        <w:t xml:space="preserve"> sequences were isolated, purified and cloned </w:t>
      </w:r>
      <w:r w:rsidRPr="00D82EAE">
        <w:rPr>
          <w:rFonts w:ascii="Times" w:eastAsia="Calibri" w:hAnsi="Times" w:cs="Times New Roman"/>
          <w:noProof/>
          <w:sz w:val="24"/>
          <w:szCs w:val="20"/>
        </w:rPr>
        <w:t>in</w:t>
      </w:r>
      <w:r w:rsidRPr="00D82EAE">
        <w:rPr>
          <w:rFonts w:ascii="Times" w:eastAsia="Calibri" w:hAnsi="Times" w:cs="Times New Roman"/>
          <w:sz w:val="24"/>
          <w:szCs w:val="20"/>
        </w:rPr>
        <w:t xml:space="preserve"> TA cloning vector pTZ57R for further study.</w:t>
      </w: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Primers and Probes Design</w:t>
      </w:r>
    </w:p>
    <w:p w:rsidR="00D82EAE" w:rsidRPr="00D82EAE" w:rsidRDefault="00D82EAE" w:rsidP="00294CFA">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GP5+/GP6+ consensus primers were used to amplify a conserved region of HPV L1 gene </w:t>
      </w:r>
      <w:r w:rsidRPr="00D82EAE">
        <w:rPr>
          <w:rFonts w:ascii="Times" w:eastAsia="Calibri" w:hAnsi="Times" w:cs="Times New Roman"/>
          <w:sz w:val="24"/>
          <w:szCs w:val="20"/>
        </w:rPr>
        <w:fldChar w:fldCharType="begin" w:fldLock="1"/>
      </w:r>
      <w:r w:rsidR="00294CFA">
        <w:rPr>
          <w:rFonts w:ascii="Times" w:eastAsia="Calibri" w:hAnsi="Times" w:cs="Times New Roman"/>
          <w:sz w:val="24"/>
          <w:szCs w:val="20"/>
        </w:rPr>
        <w:instrText>ADDIN CSL_CITATION {"citationItems":[{"id":"ITEM-1","itemData":{"DOI":"10.1099/0022-1317-76-4-1057","ISSN":"0022-1317","author":[{"dropping-particle":"","family":"Roda Husman","given":"A.-M.","non-dropping-particle":"de","parse-names":false,"suffix":""},{"dropping-particle":"","family":"Walboomers","given":"J. M. M.","non-dropping-particle":"","parse-names":false,"suffix":""},{"dropping-particle":"","family":"Brule","given":"A. J. C.","non-dropping-particle":"van den","parse-names":false,"suffix":""},{"dropping-particle":"","family":"Meijer","given":"C. J. L. M.","non-dropping-particle":"","parse-names":false,"suffix":""},{"dropping-particle":"","family":"Snijders","given":"P. J. F.","non-dropping-particle":"","parse-names":false,"suffix":""}],"container-title":"Journal of General Virology","id":"ITEM-1","issue":"4","issued":{"date-parts":[["1995","4","1"]]},"page":"1057-1062","title":"The use of general primers GP5 and GP6 elongated at their 3' ends with adjacent highly conserved sequences improves human papillomavirus detection by PCR","type":"article-journal","volume":"76"},"uris":["http://www.mendeley.com/documents/?uuid=80f65a62-cd4b-35ea-8543-00601cbe18c4"]}],"mendeley":{"formattedCitation":"&lt;span style=\"baseline\"&gt;[&lt;span style=\"baseline\"&gt;1&lt;/span&gt;]&lt;/span&gt;","plainTextFormattedCitation":"[1]","previouslyFormattedCitation":"&lt;sup&gt;1&lt;/sup&gt;"},"properties":{"noteIndex":0},"schema":"https://github.com/citation-style-language/schema/raw/master/csl-citation.json"}</w:instrText>
      </w:r>
      <w:r w:rsidRPr="00D82EAE">
        <w:rPr>
          <w:rFonts w:ascii="Times" w:eastAsia="Calibri" w:hAnsi="Times" w:cs="Times New Roman"/>
          <w:sz w:val="24"/>
          <w:szCs w:val="20"/>
        </w:rPr>
        <w:fldChar w:fldCharType="separate"/>
      </w:r>
      <w:r w:rsidR="00294CFA" w:rsidRPr="00294CFA">
        <w:rPr>
          <w:rFonts w:ascii="Times" w:eastAsia="Calibri" w:hAnsi="Times" w:cs="Times New Roman"/>
          <w:noProof/>
          <w:sz w:val="24"/>
          <w:szCs w:val="20"/>
        </w:rPr>
        <w:t>[1]</w:t>
      </w:r>
      <w:r w:rsidRPr="00D82EAE">
        <w:rPr>
          <w:rFonts w:ascii="Times" w:eastAsia="Calibri" w:hAnsi="Times" w:cs="Times New Roman"/>
          <w:sz w:val="24"/>
          <w:szCs w:val="20"/>
        </w:rPr>
        <w:fldChar w:fldCharType="end"/>
      </w:r>
      <w:r w:rsidRPr="00D82EAE">
        <w:rPr>
          <w:rFonts w:ascii="Times" w:eastAsia="Calibri" w:hAnsi="Times" w:cs="Times New Roman"/>
          <w:sz w:val="24"/>
          <w:szCs w:val="20"/>
        </w:rPr>
        <w:t xml:space="preserve">. Using Gene Runner software, oligonucleotide probes were designed to specifically hybridize to their target sequence of each genotype (Table </w:t>
      </w:r>
      <w:r w:rsidR="00A10FB5">
        <w:rPr>
          <w:rFonts w:ascii="Times" w:eastAsia="Calibri" w:hAnsi="Times" w:cs="Times New Roman"/>
          <w:sz w:val="24"/>
          <w:szCs w:val="20"/>
        </w:rPr>
        <w:t>S</w:t>
      </w:r>
      <w:r w:rsidRPr="00D82EAE">
        <w:rPr>
          <w:rFonts w:ascii="Times" w:eastAsia="Calibri" w:hAnsi="Times" w:cs="Times New Roman"/>
          <w:sz w:val="24"/>
          <w:szCs w:val="20"/>
        </w:rPr>
        <w:t xml:space="preserve">1). The DNA probes were prepared with a thiol linker group (HS–(CH2)6–), </w:t>
      </w:r>
      <w:r w:rsidRPr="00D82EAE" w:rsidDel="00612081">
        <w:rPr>
          <w:rFonts w:ascii="Times" w:eastAsia="Calibri" w:hAnsi="Times" w:cs="Times New Roman"/>
          <w:sz w:val="24"/>
          <w:szCs w:val="20"/>
        </w:rPr>
        <w:t>to</w:t>
      </w:r>
      <w:r w:rsidRPr="00D82EAE">
        <w:rPr>
          <w:rFonts w:ascii="Times" w:eastAsia="Calibri" w:hAnsi="Times" w:cs="Times New Roman"/>
          <w:sz w:val="24"/>
          <w:szCs w:val="20"/>
        </w:rPr>
        <w:t xml:space="preserve"> conjugate to the gold nanoparticles surface.</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In-silico specificity of the probes was confirmed by </w:t>
      </w:r>
      <w:r w:rsidRPr="00D82EAE">
        <w:rPr>
          <w:rFonts w:ascii="Times" w:eastAsia="Calibri" w:hAnsi="Times" w:cs="Times New Roman"/>
          <w:noProof/>
          <w:sz w:val="24"/>
          <w:szCs w:val="20"/>
        </w:rPr>
        <w:t>BLAST</w:t>
      </w:r>
      <w:r w:rsidRPr="00D82EAE">
        <w:rPr>
          <w:rFonts w:ascii="Times" w:eastAsia="Calibri" w:hAnsi="Times" w:cs="Times New Roman"/>
          <w:sz w:val="24"/>
          <w:szCs w:val="20"/>
        </w:rPr>
        <w:t xml:space="preserve"> search of probe sequences (</w:t>
      </w:r>
      <w:hyperlink r:id="rId8" w:history="1">
        <w:r w:rsidRPr="00D82EAE">
          <w:rPr>
            <w:rFonts w:ascii="Times" w:eastAsia="Calibri" w:hAnsi="Times" w:cs="Times New Roman"/>
            <w:color w:val="0000FF"/>
            <w:sz w:val="24"/>
            <w:szCs w:val="20"/>
            <w:u w:val="single"/>
          </w:rPr>
          <w:t>https://www.ncbi.nlm.nih.gov/tools/primer-blast/</w:t>
        </w:r>
      </w:hyperlink>
      <w:r w:rsidRPr="00D82EAE">
        <w:rPr>
          <w:rFonts w:ascii="Times" w:eastAsia="Calibri" w:hAnsi="Times" w:cs="Times New Roman"/>
          <w:sz w:val="24"/>
          <w:szCs w:val="20"/>
        </w:rPr>
        <w:t xml:space="preserve">). </w:t>
      </w:r>
    </w:p>
    <w:p w:rsidR="00D82EAE" w:rsidRPr="00D82EAE" w:rsidRDefault="00D82EAE" w:rsidP="00D82EAE">
      <w:pPr>
        <w:spacing w:after="0" w:line="480" w:lineRule="auto"/>
        <w:jc w:val="both"/>
        <w:rPr>
          <w:rFonts w:ascii="Times New Roman" w:eastAsia="Calibri" w:hAnsi="Times New Roman" w:cs="Times New Roman"/>
          <w:sz w:val="24"/>
        </w:rPr>
      </w:pPr>
    </w:p>
    <w:p w:rsidR="00C6674C" w:rsidRPr="00C6674C" w:rsidRDefault="00C6674C" w:rsidP="00C6674C">
      <w:pPr>
        <w:widowControl w:val="0"/>
        <w:autoSpaceDE w:val="0"/>
        <w:autoSpaceDN w:val="0"/>
        <w:adjustRightInd w:val="0"/>
        <w:spacing w:after="200" w:line="480" w:lineRule="auto"/>
        <w:jc w:val="both"/>
        <w:rPr>
          <w:rFonts w:ascii="Times New Roman" w:eastAsia="Calibri" w:hAnsi="Times New Roman" w:cs="B Nazanin"/>
          <w:b/>
          <w:bCs/>
        </w:rPr>
      </w:pPr>
    </w:p>
    <w:p w:rsidR="00C6674C" w:rsidRPr="00C6674C" w:rsidRDefault="00C6674C" w:rsidP="00C6674C">
      <w:pPr>
        <w:spacing w:after="200" w:line="480" w:lineRule="auto"/>
        <w:jc w:val="both"/>
        <w:rPr>
          <w:rFonts w:ascii="Times" w:eastAsia="Times New Roman" w:hAnsi="Times" w:cs="Times New Roman"/>
          <w:sz w:val="24"/>
          <w:szCs w:val="20"/>
        </w:rPr>
      </w:pPr>
      <w:r w:rsidRPr="00C6674C">
        <w:rPr>
          <w:rFonts w:ascii="Times" w:eastAsia="Times New Roman" w:hAnsi="Times" w:cs="Times New Roman"/>
          <w:b/>
          <w:bCs/>
          <w:sz w:val="24"/>
          <w:szCs w:val="20"/>
        </w:rPr>
        <w:lastRenderedPageBreak/>
        <w:t xml:space="preserve">Table </w:t>
      </w:r>
      <w:r w:rsidR="00A10FB5">
        <w:rPr>
          <w:rFonts w:ascii="Times" w:eastAsia="Times New Roman" w:hAnsi="Times" w:cs="Times New Roman"/>
          <w:b/>
          <w:bCs/>
          <w:sz w:val="24"/>
          <w:szCs w:val="20"/>
        </w:rPr>
        <w:t>S</w:t>
      </w:r>
      <w:r w:rsidRPr="00C6674C">
        <w:rPr>
          <w:rFonts w:ascii="Times" w:eastAsia="Times New Roman" w:hAnsi="Times" w:cs="Times New Roman"/>
          <w:b/>
          <w:bCs/>
          <w:sz w:val="24"/>
          <w:szCs w:val="20"/>
        </w:rPr>
        <w:t>1</w:t>
      </w:r>
      <w:r w:rsidR="00A10FB5">
        <w:rPr>
          <w:rFonts w:ascii="Times" w:eastAsia="Times New Roman" w:hAnsi="Times" w:cs="Times New Roman"/>
          <w:b/>
          <w:bCs/>
          <w:sz w:val="24"/>
          <w:szCs w:val="20"/>
        </w:rPr>
        <w:t>,</w:t>
      </w:r>
      <w:r w:rsidRPr="00C6674C">
        <w:rPr>
          <w:rFonts w:ascii="Times" w:eastAsia="Times New Roman" w:hAnsi="Times" w:cs="Times New Roman"/>
          <w:sz w:val="24"/>
          <w:szCs w:val="20"/>
        </w:rPr>
        <w:t xml:space="preserve"> Specific probes designed for the specific purification of HPV </w:t>
      </w:r>
      <w:r w:rsidRPr="00C6674C">
        <w:rPr>
          <w:rFonts w:ascii="Times" w:eastAsia="Times New Roman" w:hAnsi="Times" w:cs="Times New Roman"/>
          <w:noProof/>
          <w:sz w:val="24"/>
          <w:szCs w:val="20"/>
        </w:rPr>
        <w:t>DNA</w:t>
      </w:r>
    </w:p>
    <w:tbl>
      <w:tblPr>
        <w:tblStyle w:val="ListTable6Colorful1111"/>
        <w:tblW w:w="8008" w:type="dxa"/>
        <w:tblLayout w:type="fixed"/>
        <w:tblLook w:val="04A0" w:firstRow="1" w:lastRow="0" w:firstColumn="1" w:lastColumn="0" w:noHBand="0" w:noVBand="1"/>
      </w:tblPr>
      <w:tblGrid>
        <w:gridCol w:w="1948"/>
        <w:gridCol w:w="6060"/>
      </w:tblGrid>
      <w:tr w:rsidR="00C6674C" w:rsidRPr="00C6674C" w:rsidTr="00461AD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Probe names</w:t>
            </w:r>
          </w:p>
        </w:tc>
        <w:tc>
          <w:tcPr>
            <w:tcW w:w="6060" w:type="dxa"/>
            <w:shd w:val="clear" w:color="auto" w:fill="auto"/>
          </w:tcPr>
          <w:p w:rsidR="00C6674C" w:rsidRPr="00C6674C" w:rsidRDefault="00C6674C" w:rsidP="00C667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 xml:space="preserve">Probe sequence 5′- 3′ </w:t>
            </w:r>
          </w:p>
        </w:tc>
      </w:tr>
      <w:tr w:rsidR="00C6674C" w:rsidRPr="00C6674C" w:rsidTr="00461A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HPV</w:t>
            </w:r>
            <w:r w:rsidRPr="00C6674C">
              <w:rPr>
                <w:rFonts w:ascii="Calibri" w:eastAsia="Times New Roman" w:hAnsi="Calibri" w:cs="Arial"/>
                <w:sz w:val="16"/>
                <w:szCs w:val="16"/>
              </w:rPr>
              <w:t>-</w:t>
            </w:r>
            <w:r w:rsidRPr="00C6674C">
              <w:rPr>
                <w:rFonts w:ascii="Calibri" w:eastAsia="Times New Roman" w:hAnsi="Calibri" w:cs="Arial"/>
                <w:color w:val="333333"/>
                <w:sz w:val="16"/>
                <w:szCs w:val="16"/>
                <w:shd w:val="clear" w:color="auto" w:fill="FFFFFF"/>
              </w:rPr>
              <w:t>16 probe</w:t>
            </w:r>
          </w:p>
        </w:tc>
        <w:tc>
          <w:tcPr>
            <w:tcW w:w="6060" w:type="dxa"/>
            <w:shd w:val="clear" w:color="auto" w:fill="auto"/>
          </w:tcPr>
          <w:p w:rsidR="00C6674C" w:rsidRPr="00C6674C" w:rsidRDefault="00C6674C" w:rsidP="00C667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6"/>
                <w:szCs w:val="16"/>
                <w:shd w:val="clear" w:color="auto" w:fill="FFFFFF"/>
              </w:rPr>
            </w:pPr>
            <w:r w:rsidRPr="00C6674C">
              <w:rPr>
                <w:rFonts w:ascii="Calibri" w:eastAsia="Times New Roman" w:hAnsi="Calibri" w:cs="Arial"/>
                <w:b/>
                <w:bCs/>
                <w:color w:val="333333"/>
                <w:sz w:val="16"/>
                <w:szCs w:val="16"/>
                <w:u w:val="single"/>
                <w:shd w:val="clear" w:color="auto" w:fill="FFFFFF"/>
              </w:rPr>
              <w:t>TTTGTTACTGTTGTTGATACTACACGC</w:t>
            </w:r>
            <w:r w:rsidRPr="00C6674C">
              <w:rPr>
                <w:rFonts w:ascii="Calibri" w:eastAsia="Times New Roman" w:hAnsi="Calibri" w:cs="Arial"/>
                <w:color w:val="333333"/>
                <w:sz w:val="16"/>
                <w:szCs w:val="16"/>
                <w:shd w:val="clear" w:color="auto" w:fill="FFFFFF"/>
              </w:rPr>
              <w:t>TTTTTTTTTTTT-thiol-C6</w:t>
            </w:r>
          </w:p>
        </w:tc>
      </w:tr>
      <w:tr w:rsidR="00C6674C" w:rsidRPr="00C6674C" w:rsidTr="00461ADC">
        <w:trPr>
          <w:trHeight w:val="513"/>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HPV-18,31,33 probe</w:t>
            </w:r>
          </w:p>
        </w:tc>
        <w:tc>
          <w:tcPr>
            <w:tcW w:w="6060" w:type="dxa"/>
            <w:shd w:val="clear" w:color="auto" w:fill="auto"/>
          </w:tcPr>
          <w:p w:rsidR="00C6674C" w:rsidRPr="00C6674C" w:rsidRDefault="00C6674C" w:rsidP="00C667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333333"/>
                <w:sz w:val="16"/>
                <w:szCs w:val="16"/>
                <w:shd w:val="clear" w:color="auto" w:fill="FFFFFF"/>
              </w:rPr>
            </w:pPr>
            <w:r w:rsidRPr="00C6674C">
              <w:rPr>
                <w:rFonts w:ascii="Calibri" w:eastAsia="Times New Roman" w:hAnsi="Calibri" w:cs="Arial"/>
                <w:b/>
                <w:bCs/>
                <w:color w:val="333333"/>
                <w:sz w:val="16"/>
                <w:szCs w:val="16"/>
                <w:u w:val="single"/>
                <w:shd w:val="clear" w:color="auto" w:fill="FFFFFF"/>
              </w:rPr>
              <w:t>TTATTTGTTACTGTGGTAGATAC</w:t>
            </w:r>
            <w:r w:rsidRPr="00C6674C">
              <w:rPr>
                <w:rFonts w:ascii="Calibri" w:eastAsia="Times New Roman" w:hAnsi="Calibri" w:cs="Arial"/>
                <w:color w:val="333333"/>
                <w:sz w:val="16"/>
                <w:szCs w:val="16"/>
                <w:shd w:val="clear" w:color="auto" w:fill="FFFFFF"/>
              </w:rPr>
              <w:t>TTTTTTTTTTTT-thiol-C6</w:t>
            </w:r>
          </w:p>
        </w:tc>
      </w:tr>
      <w:tr w:rsidR="00C6674C" w:rsidRPr="00C6674C" w:rsidTr="00461A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HPV-45 probe</w:t>
            </w:r>
          </w:p>
        </w:tc>
        <w:tc>
          <w:tcPr>
            <w:tcW w:w="6060" w:type="dxa"/>
            <w:shd w:val="clear" w:color="auto" w:fill="auto"/>
          </w:tcPr>
          <w:p w:rsidR="00C6674C" w:rsidRPr="00C6674C" w:rsidRDefault="00C6674C" w:rsidP="00C667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6"/>
                <w:szCs w:val="16"/>
                <w:shd w:val="clear" w:color="auto" w:fill="FFFFFF"/>
              </w:rPr>
            </w:pPr>
            <w:r w:rsidRPr="00C6674C">
              <w:rPr>
                <w:rFonts w:ascii="Calibri" w:eastAsia="Times New Roman" w:hAnsi="Calibri" w:cs="Arial"/>
                <w:b/>
                <w:bCs/>
                <w:color w:val="333333"/>
                <w:sz w:val="16"/>
                <w:szCs w:val="16"/>
                <w:u w:val="single"/>
                <w:shd w:val="clear" w:color="auto" w:fill="FFFFFF"/>
              </w:rPr>
              <w:t>TTTGTTACTGTAGTGGACACTACCC</w:t>
            </w:r>
            <w:r w:rsidRPr="00C6674C">
              <w:rPr>
                <w:rFonts w:ascii="Calibri" w:eastAsia="Times New Roman" w:hAnsi="Calibri" w:cs="Arial"/>
                <w:color w:val="333333"/>
                <w:sz w:val="16"/>
                <w:szCs w:val="16"/>
                <w:shd w:val="clear" w:color="auto" w:fill="FFFFFF"/>
              </w:rPr>
              <w:t>TTTTTTTTTTTT-thiol-C6</w:t>
            </w:r>
          </w:p>
        </w:tc>
      </w:tr>
      <w:tr w:rsidR="00C6674C" w:rsidRPr="00C6674C" w:rsidTr="00461ADC">
        <w:trPr>
          <w:trHeight w:val="493"/>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HPV-52 probe</w:t>
            </w:r>
          </w:p>
        </w:tc>
        <w:tc>
          <w:tcPr>
            <w:tcW w:w="6060" w:type="dxa"/>
            <w:shd w:val="clear" w:color="auto" w:fill="auto"/>
          </w:tcPr>
          <w:p w:rsidR="00C6674C" w:rsidRPr="00C6674C" w:rsidRDefault="00C6674C" w:rsidP="00C667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C6674C">
              <w:rPr>
                <w:rFonts w:ascii="Calibri" w:eastAsia="Times New Roman" w:hAnsi="Calibri" w:cs="Arial"/>
                <w:b/>
                <w:bCs/>
                <w:color w:val="333333"/>
                <w:sz w:val="16"/>
                <w:szCs w:val="16"/>
                <w:u w:val="single"/>
                <w:shd w:val="clear" w:color="auto" w:fill="FFFFFF"/>
              </w:rPr>
              <w:t>TTTGTCACAGTTGTGGATACCACTC</w:t>
            </w:r>
            <w:r w:rsidRPr="00C6674C">
              <w:rPr>
                <w:rFonts w:ascii="Calibri" w:eastAsia="Times New Roman" w:hAnsi="Calibri" w:cs="Arial"/>
                <w:color w:val="333333"/>
                <w:sz w:val="16"/>
                <w:szCs w:val="16"/>
                <w:shd w:val="clear" w:color="auto" w:fill="FFFFFF"/>
              </w:rPr>
              <w:t>TTTTTTTTTTTT-thiol-C6</w:t>
            </w:r>
          </w:p>
        </w:tc>
      </w:tr>
      <w:tr w:rsidR="00C6674C" w:rsidRPr="00C6674C" w:rsidTr="00461AD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rsidR="00C6674C" w:rsidRPr="00C6674C" w:rsidRDefault="00C6674C" w:rsidP="00C6674C">
            <w:pPr>
              <w:autoSpaceDE w:val="0"/>
              <w:autoSpaceDN w:val="0"/>
              <w:adjustRightInd w:val="0"/>
              <w:jc w:val="center"/>
              <w:rPr>
                <w:rFonts w:ascii="Calibri" w:eastAsia="Times New Roman" w:hAnsi="Calibri" w:cs="Arial"/>
                <w:color w:val="333333"/>
                <w:sz w:val="16"/>
                <w:szCs w:val="16"/>
                <w:shd w:val="clear" w:color="auto" w:fill="FFFFFF"/>
              </w:rPr>
            </w:pPr>
            <w:r w:rsidRPr="00C6674C">
              <w:rPr>
                <w:rFonts w:ascii="Calibri" w:eastAsia="Times New Roman" w:hAnsi="Calibri" w:cs="Arial"/>
                <w:color w:val="333333"/>
                <w:sz w:val="16"/>
                <w:szCs w:val="16"/>
                <w:shd w:val="clear" w:color="auto" w:fill="FFFFFF"/>
              </w:rPr>
              <w:t>HPV-58 probe</w:t>
            </w:r>
          </w:p>
        </w:tc>
        <w:tc>
          <w:tcPr>
            <w:tcW w:w="6060" w:type="dxa"/>
            <w:shd w:val="clear" w:color="auto" w:fill="auto"/>
          </w:tcPr>
          <w:p w:rsidR="00C6674C" w:rsidRPr="00C6674C" w:rsidRDefault="00C6674C" w:rsidP="00C667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C6674C">
              <w:rPr>
                <w:rFonts w:ascii="Calibri" w:eastAsia="Times New Roman" w:hAnsi="Calibri" w:cs="Arial"/>
                <w:b/>
                <w:bCs/>
                <w:color w:val="333333"/>
                <w:sz w:val="16"/>
                <w:szCs w:val="16"/>
                <w:u w:val="single"/>
                <w:shd w:val="clear" w:color="auto" w:fill="FFFFFF"/>
              </w:rPr>
              <w:t>TTATTTGTTACCGTGGTTGATACC</w:t>
            </w:r>
            <w:r w:rsidRPr="00C6674C">
              <w:rPr>
                <w:rFonts w:ascii="Calibri" w:eastAsia="Times New Roman" w:hAnsi="Calibri" w:cs="Arial"/>
                <w:color w:val="333333"/>
                <w:sz w:val="16"/>
                <w:szCs w:val="16"/>
                <w:shd w:val="clear" w:color="auto" w:fill="FFFFFF"/>
              </w:rPr>
              <w:t>TTTTTTTTTTTT-thiol-C6</w:t>
            </w:r>
          </w:p>
        </w:tc>
      </w:tr>
    </w:tbl>
    <w:p w:rsidR="00C6674C" w:rsidRPr="00C6674C" w:rsidRDefault="00C6674C" w:rsidP="00C6674C">
      <w:pPr>
        <w:spacing w:after="200" w:line="240" w:lineRule="auto"/>
        <w:ind w:firstLine="187"/>
        <w:jc w:val="both"/>
        <w:rPr>
          <w:rFonts w:ascii="Times" w:eastAsia="Times New Roman" w:hAnsi="Times" w:cs="Times New Roman"/>
          <w:sz w:val="24"/>
          <w:szCs w:val="20"/>
        </w:rPr>
      </w:pPr>
      <w:r w:rsidRPr="00C6674C">
        <w:rPr>
          <w:rFonts w:ascii="Times" w:eastAsia="Times New Roman" w:hAnsi="Times" w:cs="Times New Roman"/>
          <w:sz w:val="24"/>
          <w:szCs w:val="20"/>
        </w:rPr>
        <w:t>Bold and underline sequences are complementary to the sequence of the HPV, poly T at the 3′ terminus acts as a spacer for increasing the distance between probes and surface of AuNPs</w:t>
      </w:r>
    </w:p>
    <w:p w:rsidR="00D82EAE" w:rsidRPr="00D82EAE" w:rsidRDefault="00D82EAE" w:rsidP="00D82EAE">
      <w:pPr>
        <w:spacing w:after="200" w:line="240" w:lineRule="auto"/>
        <w:jc w:val="both"/>
        <w:rPr>
          <w:rFonts w:ascii="Times" w:eastAsia="Times New Roman" w:hAnsi="Times" w:cs="Times New Roman"/>
          <w:sz w:val="24"/>
          <w:szCs w:val="20"/>
        </w:rPr>
      </w:pP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Synthesis of AuNPs</w:t>
      </w:r>
    </w:p>
    <w:p w:rsidR="00D82EAE" w:rsidRPr="00D82EAE" w:rsidRDefault="00D82EAE" w:rsidP="00294CFA">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AuNPs were synthesized as previously described </w:t>
      </w:r>
      <w:r w:rsidRPr="00D82EAE">
        <w:rPr>
          <w:rFonts w:ascii="Times" w:eastAsia="Calibri" w:hAnsi="Times" w:cs="Times New Roman"/>
          <w:sz w:val="24"/>
          <w:szCs w:val="20"/>
        </w:rPr>
        <w:fldChar w:fldCharType="begin" w:fldLock="1"/>
      </w:r>
      <w:r w:rsidR="00294CFA">
        <w:rPr>
          <w:rFonts w:ascii="Times New Roman" w:eastAsia="Calibri" w:hAnsi="Times New Roman" w:cs="Times New Roman"/>
          <w:sz w:val="24"/>
          <w:szCs w:val="20"/>
        </w:rPr>
        <w:instrText>ADDIN CSL_CITATION {"citationItems":[{"id":"ITEM-1","itemData":{"DOI":"10.1016/j.nano.2011.04.004","ISBN":"1549-9642 (Electronic)\\r1549-9634 (Linking)","ISSN":"15499634","PMID":"21616168","abstract":"Gold nanoparticles (AuNPs) have gained prominence in several targeting applications involving systemic cancers. Their enhanced permeation and retention within permissive tumor microvasculature provides a selective advantage for targeting. Malignant brain tumors also exhibit transport-permissive microvasculature secondary to blood-brain barrier disruption. Hence AuNPs may have potential relevance for brain tumor targeting. However, there are currently no studies that systematically examine brain microvasculature permeation of polyethylene glycol (PEG)-functionalized AuNPs. Such studies could pave the way for rationale AuNP design for passive targeting of malignant tumors. In this report we designed and characterized AuNPs with varying core particle sizes (4-24 nm) and PEG chain lengths [molecular weight 1000-10,000]. Using an in-vitro model designed to mimic the transport-permissive brain microvasculature, we demonstrate size-dependent permeation properties with respect to core particle size and PEG chain length. In general short PEG chain length (molecular weight 1000-2000) in combination with smallest core size led to optimum permeation in our model system. From the Clinical Editor: In this report the authors designed and characterized PEGylated gold NPs with varying core particle sizes and PEG chain lengths and demonstrate that short PEG chain length in combination with smallest core size led to optimum permeation of a blood-brain barrier model system. These findings may pave the way to optimized therapy of malignant brain tumors. © 2011 Elsevier Inc.","author":[{"dropping-particle":"","family":"Etame","given":"Arnold B.","non-dropping-particle":"","parse-names":false,"suffix":""},{"dropping-particle":"","family":"Smith","given":"Christian A.","non-dropping-particle":"","parse-names":false,"suffix":""},{"dropping-particle":"","family":"Chan","given":"Warren C W","non-dropping-particle":"","parse-names":false,"suffix":""},{"dropping-particle":"","family":"Rutka","given":"James T.","non-dropping-particle":"","parse-names":false,"suffix":""}],"container-title":"Nanomedicine: Nanotechnology, Biology, and Medicine","id":"ITEM-1","issue":"6","issued":{"date-parts":[["2011"]]},"page":"992-1000","title":"Design and potential application of PEGylated gold nanoparticles with size-dependent permeation through brain microvasculature","type":"article-journal","volume":"7"},"uris":["http://www.mendeley.com/documents/?uuid=587255c1-f181-3895-a492-802a5b05740c"]}],"mendeley":{"formattedCitation":"&lt;span style=\"baseline\"&gt;[&lt;span style=\"baseline\"&gt;2&lt;/span&gt;]&lt;/span&gt;","plainTextFormattedCitation":"[2]","previouslyFormattedCitation":"&lt;sup&gt;2&lt;/sup&gt;"},"properties":{"noteIndex":0},"schema":"https://github.com/citation-style-language/schema/raw/master/csl-citation.json"}</w:instrText>
      </w:r>
      <w:r w:rsidRPr="00D82EAE">
        <w:rPr>
          <w:rFonts w:ascii="Times" w:eastAsia="Calibri" w:hAnsi="Times" w:cs="Times New Roman"/>
          <w:sz w:val="24"/>
          <w:szCs w:val="20"/>
        </w:rPr>
        <w:fldChar w:fldCharType="separate"/>
      </w:r>
      <w:r w:rsidR="00294CFA" w:rsidRPr="00294CFA">
        <w:rPr>
          <w:rFonts w:ascii="Times New Roman" w:eastAsia="Calibri" w:hAnsi="Times New Roman" w:cs="Times New Roman"/>
          <w:noProof/>
          <w:sz w:val="24"/>
          <w:szCs w:val="20"/>
        </w:rPr>
        <w:t>[2]</w:t>
      </w:r>
      <w:r w:rsidRPr="00D82EAE">
        <w:rPr>
          <w:rFonts w:ascii="Times" w:eastAsia="Calibri" w:hAnsi="Times" w:cs="Times New Roman"/>
          <w:sz w:val="24"/>
          <w:szCs w:val="20"/>
        </w:rPr>
        <w:fldChar w:fldCharType="end"/>
      </w:r>
      <w:r w:rsidRPr="00D82EAE">
        <w:rPr>
          <w:rFonts w:ascii="Times" w:eastAsia="Calibri" w:hAnsi="Times" w:cs="Times New Roman"/>
          <w:sz w:val="24"/>
          <w:szCs w:val="20"/>
        </w:rPr>
        <w:t xml:space="preserve">. Briefly, chloroauric acid (0.5 mL of 0.01 M) was dissolved in 18 mL ultra-purified water, sodium citrate (0.5 mL) in the </w:t>
      </w:r>
      <w:r w:rsidRPr="00D82EAE">
        <w:rPr>
          <w:rFonts w:ascii="Times" w:eastAsia="Calibri" w:hAnsi="Times" w:cs="Times New Roman"/>
          <w:noProof/>
          <w:sz w:val="24"/>
          <w:szCs w:val="20"/>
        </w:rPr>
        <w:t>concentration</w:t>
      </w:r>
      <w:r w:rsidRPr="00D82EAE">
        <w:rPr>
          <w:rFonts w:ascii="Times" w:eastAsia="Calibri" w:hAnsi="Times" w:cs="Times New Roman"/>
          <w:sz w:val="24"/>
          <w:szCs w:val="20"/>
        </w:rPr>
        <w:t xml:space="preserve"> of 0.01 M was then added and the mixture was incubated for 5 minutes at room temperature. To have </w:t>
      </w:r>
      <w:r w:rsidRPr="00D82EAE">
        <w:rPr>
          <w:rFonts w:ascii="Times" w:eastAsia="Calibri" w:hAnsi="Times" w:cs="Times New Roman"/>
          <w:noProof/>
          <w:sz w:val="24"/>
          <w:szCs w:val="20"/>
        </w:rPr>
        <w:t>particles less</w:t>
      </w:r>
      <w:r w:rsidRPr="00D82EAE">
        <w:rPr>
          <w:rFonts w:ascii="Times" w:eastAsia="Calibri" w:hAnsi="Times" w:cs="Times New Roman"/>
          <w:sz w:val="24"/>
          <w:szCs w:val="20"/>
        </w:rPr>
        <w:t xml:space="preserve"> than 10 nm, sodium borohydride (0.5 mL of 0.1 M) was rapidly injected to the reaction mixture. Particles were then stored at 4°C in a </w:t>
      </w:r>
      <w:r w:rsidRPr="00D82EAE">
        <w:rPr>
          <w:rFonts w:ascii="Times" w:eastAsia="Calibri" w:hAnsi="Times" w:cs="Times New Roman"/>
          <w:noProof/>
          <w:sz w:val="24"/>
          <w:szCs w:val="20"/>
        </w:rPr>
        <w:t>dark</w:t>
      </w:r>
      <w:r w:rsidRPr="00D82EAE">
        <w:rPr>
          <w:rFonts w:ascii="Times" w:eastAsia="Calibri" w:hAnsi="Times" w:cs="Times New Roman"/>
          <w:sz w:val="24"/>
          <w:szCs w:val="20"/>
        </w:rPr>
        <w:t xml:space="preserve"> place. </w:t>
      </w: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 xml:space="preserve">Conjugation of oligonucleotide probes to AuNPs </w:t>
      </w:r>
    </w:p>
    <w:p w:rsidR="00D82EAE" w:rsidRPr="00D82EAE" w:rsidRDefault="00D82EAE" w:rsidP="00A10FB5">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Thiol-modified oligonucleotide probes conjugation was performed through the reported procedure </w:t>
      </w:r>
      <w:r w:rsidRPr="00D82EAE">
        <w:rPr>
          <w:rFonts w:ascii="Times" w:eastAsia="Calibri" w:hAnsi="Times" w:cs="Times New Roman"/>
          <w:sz w:val="24"/>
          <w:szCs w:val="20"/>
        </w:rPr>
        <w:fldChar w:fldCharType="begin" w:fldLock="1"/>
      </w:r>
      <w:r w:rsidR="00294CFA">
        <w:rPr>
          <w:rFonts w:ascii="Times New Roman" w:eastAsia="Calibri" w:hAnsi="Times New Roman" w:cs="Times New Roman"/>
          <w:sz w:val="24"/>
          <w:szCs w:val="20"/>
        </w:rPr>
        <w:instrText>ADDIN CSL_CITATION {"citationItems":[{"id":"ITEM-1","itemData":{"DOI":"10.1039/c4nr05869k","ISBN":"2040-3364","ISSN":"20403372","PMID":"25563863","abstract":"A simultaneous direct detection of Shiga-toxin producing strains of E. coli (STEC; \"Big Six\" - O26, O45, O103, O111, O121, and O145) as well as O157 strains by optical biosensing with oligonucleotide-functionalized gold nanoparticles (AuNPs) was developed. Initially, conserved regions of stx genes were amplified by asymmetric polymerase chain reaction (asPCR). Pairs of single stranded thiol-modified oligonucleotides (30-mer) were immobilized onto AuNPs and used as probes to capture regions of stx1 (119-bp) and/or stx2 (104-bp) genes from STEC strains. DNA samples from pure cultures and food samples were sandwich hybridized with AuNP-oligo probes at optimal conditions (50 °C, 30 min). A complex was formed from the hybridization of AuNP-probes and target DNA fragments that retained the initial red color of the reaction solutions. For non-target DNA, a color change from red to purplish-blue was observed following an increase in salt concentration, thus providing the basis of simultaneous direct colorimetric detection of target DNA in the samples. Enrichment and pooling systems were incorporated to efficiently process a large number of food samples (ground beef and blueberries) and detection of live targets. The detection limit was &lt;1 log CFU g(-1), requiring less than 1 h to complete after DNA sample preparation with 100% specificity. Gel electrophoresis verified AuNP-DNA hybridization while spectrophotometric data and transmission electron microscope (TEM) images supported color discrimination based on the occurrence of molecular aggregation. In conclusion, the significant features of this approach took advantage of the unique colorimetric properties of AuNPs as a low-cost and simple approach yet with high specificity for simultaneous detection of STEC strains.","author":[{"dropping-particle":"","family":"Quintela","given":"Irwin A.","non-dropping-particle":"","parse-names":false,"suffix":""},{"dropping-particle":"","family":"Los Reyes","given":"Benildo G.","non-dropping-particle":"De","parse-names":false,"suffix":""},{"dropping-particle":"","family":"Lin","given":"Chih Sheng","non-dropping-particle":"","parse-names":false,"suffix":""},{"dropping-particle":"","family":"Wu","given":"Vivian C.H.","non-dropping-particle":"","parse-names":false,"suffix":""}],"container-title":"Nanoscale","id":"ITEM-1","issue":"6","issued":{"date-parts":[["2015"]]},"page":"2417-2426","title":"Simultaneous direct detection of Shiga-toxin producing Escherichia coli (STEC) strains by optical biosensing with oligonucleotide-functionalized gold nanoparticles","type":"article-journal","volume":"7"},"uris":["http://www.mendeley.com/documents/?uuid=a701d1c9-5132-3413-9be5-858b8c973a92"]}],"mendeley":{"formattedCitation":"&lt;span style=\"baseline\"&gt;[&lt;span style=\"baseline\"&gt;3&lt;/span&gt;]&lt;/span&gt;","plainTextFormattedCitation":"[3]","previouslyFormattedCitation":"&lt;sup&gt;3&lt;/sup&gt;"},"properties":{"noteIndex":0},"schema":"https://github.com/citation-style-language/schema/raw/master/csl-citation.json"}</w:instrText>
      </w:r>
      <w:r w:rsidRPr="00D82EAE">
        <w:rPr>
          <w:rFonts w:ascii="Times" w:eastAsia="Calibri" w:hAnsi="Times" w:cs="Times New Roman"/>
          <w:sz w:val="24"/>
          <w:szCs w:val="20"/>
        </w:rPr>
        <w:fldChar w:fldCharType="separate"/>
      </w:r>
      <w:r w:rsidR="00294CFA" w:rsidRPr="00294CFA">
        <w:rPr>
          <w:rFonts w:ascii="Times New Roman" w:eastAsia="Calibri" w:hAnsi="Times New Roman" w:cs="Times New Roman"/>
          <w:noProof/>
          <w:sz w:val="24"/>
          <w:szCs w:val="20"/>
        </w:rPr>
        <w:t>[3]</w:t>
      </w:r>
      <w:r w:rsidRPr="00D82EAE">
        <w:rPr>
          <w:rFonts w:ascii="Times" w:eastAsia="Calibri" w:hAnsi="Times" w:cs="Times New Roman"/>
          <w:sz w:val="24"/>
          <w:szCs w:val="20"/>
        </w:rPr>
        <w:fldChar w:fldCharType="end"/>
      </w:r>
      <w:r w:rsidRPr="00D82EAE">
        <w:rPr>
          <w:rFonts w:ascii="Times" w:eastAsia="Calibri" w:hAnsi="Times" w:cs="Times New Roman"/>
          <w:sz w:val="24"/>
          <w:szCs w:val="20"/>
        </w:rPr>
        <w:t xml:space="preserve">. Initially, </w:t>
      </w:r>
      <w:r w:rsidRPr="00D82EAE">
        <w:rPr>
          <w:rFonts w:ascii="Times" w:eastAsia="Calibri" w:hAnsi="Times" w:cs="Times New Roman"/>
          <w:color w:val="000000"/>
          <w:sz w:val="24"/>
          <w:szCs w:val="24"/>
        </w:rPr>
        <w:t>a series of experiments in hybridization was performed to optimize the concentration of thiol-modified DNA probes and AuNP solution (Fig</w:t>
      </w:r>
      <w:r w:rsidR="00A10FB5">
        <w:rPr>
          <w:rFonts w:ascii="Times" w:eastAsia="Calibri" w:hAnsi="Times" w:cs="Times New Roman"/>
          <w:color w:val="000000"/>
          <w:sz w:val="24"/>
          <w:szCs w:val="24"/>
        </w:rPr>
        <w:t>ure S</w:t>
      </w:r>
      <w:r w:rsidRPr="00D82EAE">
        <w:rPr>
          <w:rFonts w:ascii="Times" w:eastAsia="Calibri" w:hAnsi="Times" w:cs="Times New Roman"/>
          <w:color w:val="000000"/>
          <w:sz w:val="24"/>
          <w:szCs w:val="24"/>
        </w:rPr>
        <w:t xml:space="preserve">1). Indeed, different concentrations of the </w:t>
      </w:r>
      <w:r w:rsidRPr="00D82EAE">
        <w:rPr>
          <w:rFonts w:ascii="Times" w:eastAsia="Calibri" w:hAnsi="Times" w:cs="Times New Roman"/>
          <w:noProof/>
          <w:color w:val="000000"/>
          <w:sz w:val="24"/>
          <w:szCs w:val="24"/>
        </w:rPr>
        <w:t>thiol-modified</w:t>
      </w:r>
      <w:r w:rsidRPr="00D82EAE">
        <w:rPr>
          <w:rFonts w:ascii="Times" w:eastAsia="Calibri" w:hAnsi="Times" w:cs="Times New Roman"/>
          <w:color w:val="000000"/>
          <w:sz w:val="24"/>
          <w:szCs w:val="24"/>
        </w:rPr>
        <w:t xml:space="preserve"> probe (5, 10, 20, and 40 μM) were separately added to </w:t>
      </w:r>
      <w:r w:rsidRPr="00D82EAE">
        <w:rPr>
          <w:rFonts w:ascii="Times" w:eastAsia="Calibri" w:hAnsi="Times" w:cs="Times New Roman"/>
          <w:sz w:val="24"/>
          <w:szCs w:val="20"/>
        </w:rPr>
        <w:t xml:space="preserve">the solution (1.06 µg/ml, 980 μl) of AuNPs and incubated in a water bath for 24 h at 37°C. Besides, all the thiol-modified probe concentrations were also added to a </w:t>
      </w:r>
      <w:r w:rsidRPr="00D82EAE">
        <w:rPr>
          <w:rFonts w:ascii="Times" w:eastAsia="Calibri" w:hAnsi="Times" w:cs="Times New Roman"/>
          <w:noProof/>
          <w:color w:val="000000"/>
          <w:sz w:val="24"/>
          <w:szCs w:val="24"/>
        </w:rPr>
        <w:t>concentration</w:t>
      </w:r>
      <w:r w:rsidRPr="00D82EAE">
        <w:rPr>
          <w:rFonts w:ascii="Times" w:eastAsia="Calibri" w:hAnsi="Times" w:cs="Times New Roman"/>
          <w:color w:val="000000"/>
          <w:sz w:val="24"/>
          <w:szCs w:val="24"/>
        </w:rPr>
        <w:t xml:space="preserve"> of 2.13 µg/ml AuNP solution</w:t>
      </w:r>
      <w:r w:rsidRPr="00D82EAE">
        <w:rPr>
          <w:rFonts w:ascii="Times" w:eastAsia="Calibri" w:hAnsi="Times" w:cs="Times New Roman"/>
          <w:sz w:val="24"/>
          <w:szCs w:val="20"/>
        </w:rPr>
        <w:t>. For</w:t>
      </w:r>
      <w:r w:rsidRPr="00D82EAE" w:rsidDel="00612081">
        <w:rPr>
          <w:rFonts w:ascii="Times" w:eastAsia="Calibri" w:hAnsi="Times" w:cs="Times New Roman"/>
          <w:sz w:val="24"/>
          <w:szCs w:val="20"/>
        </w:rPr>
        <w:t xml:space="preserve"> </w:t>
      </w:r>
      <w:r w:rsidRPr="00D82EAE">
        <w:rPr>
          <w:rFonts w:ascii="Times" w:eastAsia="Calibri" w:hAnsi="Times" w:cs="Times New Roman"/>
          <w:sz w:val="24"/>
          <w:szCs w:val="20"/>
        </w:rPr>
        <w:t xml:space="preserve">strong attachment of probes to the surface of AuNPs, salt buffer solution (0.05–1.0 M NaCl in 10 mM Na2HPO4, pH 7.4) at six different time points in the next 48 h interval was </w:t>
      </w:r>
      <w:r w:rsidRPr="00D82EAE">
        <w:rPr>
          <w:rFonts w:ascii="Times" w:eastAsia="Calibri" w:hAnsi="Times" w:cs="Times New Roman"/>
          <w:sz w:val="24"/>
          <w:szCs w:val="20"/>
        </w:rPr>
        <w:lastRenderedPageBreak/>
        <w:t xml:space="preserve">added to the mixture. The mixture was centrifuged for 30 min at 19,530 × g to remove unbounded probes from the functionalized AuNP solution. Following the removal of </w:t>
      </w:r>
      <w:r w:rsidRPr="00D82EAE">
        <w:rPr>
          <w:rFonts w:ascii="Times" w:eastAsia="Calibri" w:hAnsi="Times" w:cs="Times New Roman"/>
          <w:noProof/>
          <w:sz w:val="24"/>
          <w:szCs w:val="20"/>
        </w:rPr>
        <w:t>supernatant</w:t>
      </w:r>
      <w:r w:rsidRPr="00D82EAE">
        <w:rPr>
          <w:rFonts w:ascii="Times" w:eastAsia="Calibri" w:hAnsi="Times" w:cs="Times New Roman"/>
          <w:sz w:val="24"/>
          <w:szCs w:val="20"/>
        </w:rPr>
        <w:t xml:space="preserve">, the red oily precipitate was washed twice with phosphate buffer saline (PBS, pH 7), followed by centrifugation and redispersion in 0.05 M NaCl solution. </w:t>
      </w:r>
      <w:r w:rsidRPr="00D82EAE">
        <w:rPr>
          <w:rFonts w:ascii="Times" w:eastAsia="Calibri" w:hAnsi="Times" w:cs="Times New Roman"/>
          <w:color w:val="000000"/>
          <w:sz w:val="24"/>
          <w:szCs w:val="24"/>
        </w:rPr>
        <w:t xml:space="preserve">Moreover, 20 and 40 µL volume of optimum concentration from the functionalized AuNPs solution </w:t>
      </w:r>
      <w:r w:rsidRPr="00D82EAE">
        <w:rPr>
          <w:rFonts w:ascii="Times" w:eastAsia="Calibri" w:hAnsi="Times" w:cs="Times New Roman"/>
          <w:noProof/>
          <w:color w:val="000000"/>
          <w:sz w:val="24"/>
          <w:szCs w:val="24"/>
        </w:rPr>
        <w:t>was</w:t>
      </w:r>
      <w:r w:rsidRPr="00D82EAE">
        <w:rPr>
          <w:rFonts w:ascii="Times" w:eastAsia="Calibri" w:hAnsi="Times" w:cs="Times New Roman"/>
          <w:color w:val="000000"/>
          <w:sz w:val="24"/>
          <w:szCs w:val="24"/>
        </w:rPr>
        <w:t xml:space="preserve"> tested to achieve the final assay volume</w:t>
      </w:r>
      <w:r w:rsidRPr="00D82EAE">
        <w:rPr>
          <w:rFonts w:ascii="Times" w:eastAsia="Calibri" w:hAnsi="Times" w:cs="Times New Roman"/>
          <w:sz w:val="24"/>
          <w:szCs w:val="20"/>
        </w:rPr>
        <w:t xml:space="preserve">. </w:t>
      </w:r>
    </w:p>
    <w:p w:rsidR="00D82EAE" w:rsidRPr="00D82EAE" w:rsidRDefault="00C6674C" w:rsidP="00D82EAE">
      <w:pPr>
        <w:rPr>
          <w:rFonts w:ascii="Calibri" w:eastAsia="Calibri" w:hAnsi="Calibri" w:cs="Arial"/>
        </w:rPr>
      </w:pPr>
      <w:r>
        <w:rPr>
          <w:rFonts w:ascii="Calibri" w:eastAsia="Calibri" w:hAnsi="Calibri" w:cs="Arial"/>
          <w:noProof/>
        </w:rPr>
        <w:drawing>
          <wp:inline distT="0" distB="0" distL="0" distR="0">
            <wp:extent cx="4629150" cy="3094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9130" cy="3101405"/>
                    </a:xfrm>
                    <a:prstGeom prst="rect">
                      <a:avLst/>
                    </a:prstGeom>
                  </pic:spPr>
                </pic:pic>
              </a:graphicData>
            </a:graphic>
          </wp:inline>
        </w:drawing>
      </w:r>
    </w:p>
    <w:p w:rsidR="00C6674C" w:rsidRPr="00C6674C" w:rsidRDefault="00A10FB5" w:rsidP="00C6674C">
      <w:pPr>
        <w:spacing w:after="200" w:line="480" w:lineRule="auto"/>
        <w:jc w:val="both"/>
        <w:rPr>
          <w:rFonts w:ascii="Times New Roman" w:eastAsia="Calibri" w:hAnsi="Times New Roman" w:cs="Times New Roman"/>
        </w:rPr>
      </w:pPr>
      <w:r>
        <w:rPr>
          <w:rFonts w:ascii="Times New Roman" w:eastAsia="Times New Roman" w:hAnsi="Times New Roman" w:cs="Times New Roman"/>
          <w:b/>
          <w:bCs/>
          <w:szCs w:val="18"/>
          <w:shd w:val="clear" w:color="auto" w:fill="FFFFFF"/>
        </w:rPr>
        <w:t>Figure S1,</w:t>
      </w:r>
      <w:r w:rsidR="00C6674C" w:rsidRPr="00C6674C">
        <w:rPr>
          <w:rFonts w:ascii="Times New Roman" w:eastAsia="Times New Roman" w:hAnsi="Times New Roman" w:cs="Times New Roman"/>
          <w:szCs w:val="18"/>
          <w:shd w:val="clear" w:color="auto" w:fill="FFFFFF"/>
        </w:rPr>
        <w:t xml:space="preserve"> </w:t>
      </w:r>
      <w:r w:rsidR="00C6674C" w:rsidRPr="00C6674C">
        <w:rPr>
          <w:rFonts w:ascii="Times New Roman" w:eastAsia="Calibri" w:hAnsi="Times New Roman" w:cs="Times New Roman"/>
          <w:szCs w:val="18"/>
        </w:rPr>
        <w:t>Optimization of AuNPs and thiol-modified oligonucleotide probes concentrations by gradually adding sodium chloride. 0.1 M (A1, B1, 12 hr.), 0.2 M (A2, B2, 24 hr.), and 0.4 M (A3, B3, 48 hr.) of sodium chloride.</w:t>
      </w:r>
    </w:p>
    <w:p w:rsidR="00D82EAE" w:rsidRPr="00D82EAE" w:rsidRDefault="00D82EAE" w:rsidP="00D82EAE">
      <w:pPr>
        <w:rPr>
          <w:rFonts w:ascii="Calibri" w:eastAsia="Calibri" w:hAnsi="Calibri" w:cs="Arial"/>
        </w:rPr>
      </w:pP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 xml:space="preserve">Optimization of hybridization temperature and time  </w:t>
      </w:r>
    </w:p>
    <w:p w:rsidR="00D82EAE" w:rsidRPr="00D82EAE" w:rsidRDefault="00D82EAE" w:rsidP="00D82EAE">
      <w:pPr>
        <w:spacing w:after="0" w:line="480" w:lineRule="auto"/>
        <w:ind w:firstLine="202"/>
        <w:jc w:val="both"/>
        <w:rPr>
          <w:rFonts w:ascii="Times" w:eastAsia="Calibri" w:hAnsi="Times" w:cs="Times New Roman"/>
          <w:color w:val="000000"/>
          <w:sz w:val="24"/>
          <w:szCs w:val="24"/>
        </w:rPr>
      </w:pPr>
      <w:r w:rsidRPr="00D82EAE">
        <w:rPr>
          <w:rFonts w:ascii="Times" w:eastAsia="Calibri" w:hAnsi="Times" w:cs="Times New Roman"/>
          <w:sz w:val="24"/>
          <w:szCs w:val="20"/>
        </w:rPr>
        <w:t xml:space="preserve">Using AuNP to achieve maximum efficiency, different hybridization conditions were optimized for the </w:t>
      </w:r>
      <w:r w:rsidRPr="00D82EAE">
        <w:rPr>
          <w:rFonts w:ascii="Times" w:eastAsia="Calibri" w:hAnsi="Times" w:cs="Times New Roman"/>
          <w:noProof/>
          <w:sz w:val="24"/>
          <w:szCs w:val="20"/>
        </w:rPr>
        <w:t>purification</w:t>
      </w:r>
      <w:r w:rsidRPr="00D82EAE">
        <w:rPr>
          <w:rFonts w:ascii="Times" w:eastAsia="Calibri" w:hAnsi="Times" w:cs="Times New Roman"/>
          <w:sz w:val="24"/>
          <w:szCs w:val="20"/>
        </w:rPr>
        <w:t xml:space="preserve"> of HPV DNA from FFPE tissue samples.</w:t>
      </w:r>
      <w:r w:rsidRPr="00D82EAE">
        <w:rPr>
          <w:rFonts w:ascii="Times" w:eastAsia="Calibri" w:hAnsi="Times" w:cs="Times New Roman"/>
          <w:color w:val="000000"/>
          <w:sz w:val="24"/>
          <w:szCs w:val="24"/>
        </w:rPr>
        <w:t xml:space="preserve"> To establish the optimal hybridization time, the functionalized AuNPs solution was allowed to react with the PCR products for times </w:t>
      </w:r>
      <w:r w:rsidRPr="00D82EAE">
        <w:rPr>
          <w:rFonts w:ascii="Times" w:eastAsia="Calibri" w:hAnsi="Times" w:cs="Times New Roman"/>
          <w:color w:val="000000"/>
          <w:sz w:val="24"/>
          <w:szCs w:val="24"/>
        </w:rPr>
        <w:lastRenderedPageBreak/>
        <w:t xml:space="preserve">ranging from 30, 45, and 60 min at a </w:t>
      </w:r>
      <w:r w:rsidRPr="00D82EAE">
        <w:rPr>
          <w:rFonts w:ascii="Times" w:eastAsia="Calibri" w:hAnsi="Times" w:cs="Times New Roman"/>
          <w:noProof/>
          <w:color w:val="000000"/>
          <w:sz w:val="24"/>
          <w:szCs w:val="24"/>
        </w:rPr>
        <w:t>pre-determined</w:t>
      </w:r>
      <w:r w:rsidRPr="00D82EAE">
        <w:rPr>
          <w:rFonts w:ascii="Times" w:eastAsia="Calibri" w:hAnsi="Times" w:cs="Times New Roman"/>
          <w:color w:val="000000"/>
          <w:sz w:val="24"/>
          <w:szCs w:val="24"/>
        </w:rPr>
        <w:t xml:space="preserve"> temperature, which was approximately 5°C below the melting temperature.</w:t>
      </w:r>
    </w:p>
    <w:p w:rsidR="00D82EAE" w:rsidRPr="00D82EAE" w:rsidRDefault="00D82EAE" w:rsidP="00D82EAE">
      <w:pPr>
        <w:numPr>
          <w:ilvl w:val="2"/>
          <w:numId w:val="1"/>
        </w:numPr>
        <w:spacing w:after="0" w:line="480" w:lineRule="auto"/>
        <w:contextualSpacing/>
        <w:jc w:val="both"/>
        <w:rPr>
          <w:rFonts w:ascii="Times" w:eastAsia="Calibri" w:hAnsi="Times" w:cs="Times New Roman"/>
          <w:b/>
          <w:bCs/>
          <w:color w:val="000000"/>
          <w:sz w:val="24"/>
          <w:szCs w:val="24"/>
        </w:rPr>
      </w:pPr>
      <w:r w:rsidRPr="00D82EAE">
        <w:rPr>
          <w:rFonts w:ascii="Times" w:eastAsia="Calibri" w:hAnsi="Times" w:cs="Times New Roman"/>
          <w:b/>
          <w:bCs/>
          <w:color w:val="000000"/>
          <w:sz w:val="24"/>
          <w:szCs w:val="24"/>
        </w:rPr>
        <w:t xml:space="preserve">Preparation of template DNA for hybridization </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To determine the method ability to purify</w:t>
      </w:r>
      <w:r w:rsidRPr="00D82EAE" w:rsidDel="00612081">
        <w:rPr>
          <w:rFonts w:ascii="Times" w:eastAsia="Calibri" w:hAnsi="Times" w:cs="Times New Roman"/>
          <w:sz w:val="24"/>
          <w:szCs w:val="20"/>
        </w:rPr>
        <w:t xml:space="preserve"> </w:t>
      </w:r>
      <w:r w:rsidRPr="00D82EAE">
        <w:rPr>
          <w:rFonts w:ascii="Times" w:eastAsia="Calibri" w:hAnsi="Times" w:cs="Times New Roman"/>
          <w:sz w:val="24"/>
          <w:szCs w:val="20"/>
        </w:rPr>
        <w:t>the lowest concentration of HPV DNA, a ten-fold dilution series range 10</w:t>
      </w:r>
      <w:r w:rsidRPr="00D82EAE">
        <w:rPr>
          <w:rFonts w:ascii="Times" w:eastAsia="Calibri" w:hAnsi="Times" w:cs="Times New Roman"/>
          <w:sz w:val="24"/>
          <w:szCs w:val="20"/>
          <w:vertAlign w:val="superscript"/>
        </w:rPr>
        <w:t>10</w:t>
      </w:r>
      <w:r w:rsidRPr="00D82EAE">
        <w:rPr>
          <w:rFonts w:ascii="Times" w:eastAsia="Calibri" w:hAnsi="Times" w:cs="Times New Roman"/>
          <w:sz w:val="24"/>
          <w:szCs w:val="20"/>
        </w:rPr>
        <w:t xml:space="preserve"> to 10</w:t>
      </w:r>
      <w:r w:rsidRPr="00D82EAE">
        <w:rPr>
          <w:rFonts w:ascii="Times" w:eastAsia="Calibri" w:hAnsi="Times" w:cs="Times New Roman"/>
          <w:sz w:val="24"/>
          <w:szCs w:val="20"/>
          <w:vertAlign w:val="superscript"/>
        </w:rPr>
        <w:t>0</w:t>
      </w:r>
      <w:r w:rsidRPr="00D82EAE">
        <w:rPr>
          <w:rFonts w:ascii="Times" w:eastAsia="Calibri" w:hAnsi="Times" w:cs="Times New Roman"/>
          <w:sz w:val="24"/>
          <w:szCs w:val="20"/>
        </w:rPr>
        <w:t xml:space="preserve"> copies of plasmids containing high-risk HPV DNA were PCR amplified by GP5+/GP6+ consensus primers. </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w:eastAsia="Calibri" w:hAnsi="Times" w:cs="Times New Roman"/>
          <w:sz w:val="24"/>
          <w:szCs w:val="20"/>
        </w:rPr>
        <w:t xml:space="preserve">The reaction mixture (final volume 25 µL) consisted of 12.5 µL of SYBR Green Premix, 2 µL of the template DNA, and 0.4 μM of each primer. The amplification was performed on the </w:t>
      </w:r>
      <w:r w:rsidRPr="00D82EAE">
        <w:rPr>
          <w:rFonts w:ascii="Times" w:eastAsia="Calibri" w:hAnsi="Times" w:cs="Times New Roman"/>
          <w:noProof/>
          <w:sz w:val="24"/>
          <w:szCs w:val="20"/>
        </w:rPr>
        <w:t>real-time</w:t>
      </w:r>
      <w:r w:rsidRPr="00D82EAE">
        <w:rPr>
          <w:rFonts w:ascii="Times" w:eastAsia="Calibri" w:hAnsi="Times" w:cs="Times New Roman"/>
          <w:sz w:val="24"/>
          <w:szCs w:val="20"/>
        </w:rPr>
        <w:t xml:space="preserve"> machine at 95</w:t>
      </w:r>
      <w:r w:rsidRPr="00D82EAE">
        <w:rPr>
          <w:rFonts w:ascii="Times New Roman" w:eastAsia="Calibri" w:hAnsi="Times New Roman" w:cs="Times New Roman"/>
          <w:sz w:val="24"/>
          <w:szCs w:val="20"/>
        </w:rPr>
        <w:sym w:font="Symbol" w:char="F0B0"/>
      </w:r>
      <w:r w:rsidRPr="00D82EAE">
        <w:rPr>
          <w:rFonts w:ascii="Times New Roman" w:eastAsia="Calibri" w:hAnsi="Times New Roman" w:cs="Times New Roman"/>
          <w:sz w:val="24"/>
          <w:szCs w:val="20"/>
        </w:rPr>
        <w:t>C for 30 s, followed by 50 cycles of 95</w:t>
      </w:r>
      <w:r w:rsidRPr="00D82EAE">
        <w:rPr>
          <w:rFonts w:ascii="Times New Roman" w:eastAsia="Calibri" w:hAnsi="Times New Roman" w:cs="Times New Roman"/>
          <w:sz w:val="24"/>
          <w:szCs w:val="20"/>
        </w:rPr>
        <w:sym w:font="Symbol" w:char="F0B0"/>
      </w:r>
      <w:r w:rsidRPr="00D82EAE">
        <w:rPr>
          <w:rFonts w:ascii="Times New Roman" w:eastAsia="Calibri" w:hAnsi="Times New Roman" w:cs="Times New Roman"/>
          <w:sz w:val="24"/>
          <w:szCs w:val="20"/>
        </w:rPr>
        <w:t>C for 5 s, 60</w:t>
      </w:r>
      <w:r w:rsidRPr="00D82EAE">
        <w:rPr>
          <w:rFonts w:ascii="Times New Roman" w:eastAsia="Calibri" w:hAnsi="Times New Roman" w:cs="Times New Roman"/>
          <w:sz w:val="24"/>
          <w:szCs w:val="20"/>
        </w:rPr>
        <w:sym w:font="Symbol" w:char="F0B0"/>
      </w:r>
      <w:r w:rsidRPr="00D82EAE">
        <w:rPr>
          <w:rFonts w:ascii="Times New Roman" w:eastAsia="Calibri" w:hAnsi="Times New Roman" w:cs="Times New Roman"/>
          <w:sz w:val="24"/>
          <w:szCs w:val="20"/>
        </w:rPr>
        <w:t>C for 20 s, and 72</w:t>
      </w:r>
      <w:r w:rsidRPr="00D82EAE">
        <w:rPr>
          <w:rFonts w:ascii="Times New Roman" w:eastAsia="Calibri" w:hAnsi="Times New Roman" w:cs="Times New Roman"/>
          <w:sz w:val="24"/>
          <w:szCs w:val="20"/>
        </w:rPr>
        <w:sym w:font="Symbol" w:char="F0B0"/>
      </w:r>
      <w:r w:rsidRPr="00D82EAE">
        <w:rPr>
          <w:rFonts w:ascii="Times New Roman" w:eastAsia="Calibri" w:hAnsi="Times New Roman" w:cs="Times New Roman"/>
          <w:sz w:val="24"/>
          <w:szCs w:val="20"/>
        </w:rPr>
        <w:t>C for 20 s. Melting curve analysis of the amplified products was conducted at the end of each PCR to confirm that one PCR product was amplified.</w:t>
      </w:r>
    </w:p>
    <w:p w:rsidR="00D82EAE" w:rsidRPr="00D82EAE" w:rsidRDefault="00D82EAE" w:rsidP="00D82EAE">
      <w:pPr>
        <w:numPr>
          <w:ilvl w:val="2"/>
          <w:numId w:val="1"/>
        </w:numPr>
        <w:spacing w:after="0" w:line="480" w:lineRule="auto"/>
        <w:contextualSpacing/>
        <w:jc w:val="both"/>
        <w:rPr>
          <w:rFonts w:ascii="Times New Roman" w:eastAsia="Calibri" w:hAnsi="Times New Roman" w:cs="Times New Roman"/>
          <w:b/>
          <w:bCs/>
          <w:sz w:val="24"/>
          <w:szCs w:val="20"/>
        </w:rPr>
      </w:pPr>
      <w:r w:rsidRPr="00D82EAE">
        <w:rPr>
          <w:rFonts w:ascii="Times New Roman" w:eastAsia="Calibri" w:hAnsi="Times New Roman" w:cs="Times New Roman"/>
          <w:b/>
          <w:bCs/>
          <w:sz w:val="24"/>
          <w:szCs w:val="20"/>
        </w:rPr>
        <w:t>Purification method for</w:t>
      </w:r>
      <w:r w:rsidRPr="00D82EAE">
        <w:rPr>
          <w:rFonts w:ascii="Times New Roman" w:eastAsia="Calibri" w:hAnsi="Times New Roman" w:cs="Times New Roman"/>
          <w:b/>
          <w:bCs/>
          <w:color w:val="6A6A6A"/>
          <w:sz w:val="24"/>
          <w:szCs w:val="20"/>
          <w:shd w:val="clear" w:color="auto" w:fill="FFFFFF"/>
        </w:rPr>
        <w:t xml:space="preserve"> </w:t>
      </w:r>
      <w:r w:rsidRPr="00D82EAE">
        <w:rPr>
          <w:rFonts w:ascii="Times New Roman" w:eastAsia="Calibri" w:hAnsi="Times New Roman" w:cs="Times New Roman"/>
          <w:b/>
          <w:bCs/>
          <w:sz w:val="24"/>
          <w:szCs w:val="20"/>
        </w:rPr>
        <w:t>high-risk HPV DNA</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t xml:space="preserve">To evaluate our newly developed purification method for the yield and purity of DNA, a volume of 20 μl of the probe-AuNP conjugate was mixed with 2 μl of a dilution series (ten-fold step) of PCR products and 8 μl of 2X saline-sodium citrate (SSC) buffer. </w:t>
      </w:r>
      <w:r w:rsidRPr="00D82EAE">
        <w:rPr>
          <w:rFonts w:ascii="Times New Roman" w:eastAsia="Calibri" w:hAnsi="Times New Roman" w:cs="Times New Roman"/>
          <w:noProof/>
          <w:sz w:val="24"/>
          <w:szCs w:val="20"/>
        </w:rPr>
        <w:t>The hybridization</w:t>
      </w:r>
      <w:r w:rsidRPr="00D82EAE">
        <w:rPr>
          <w:rFonts w:ascii="Times New Roman" w:eastAsia="Calibri" w:hAnsi="Times New Roman" w:cs="Times New Roman"/>
          <w:sz w:val="24"/>
          <w:szCs w:val="20"/>
        </w:rPr>
        <w:t xml:space="preserve"> reaction was performed at 94°C for 12 min followed by 30 min incubation of HPV-16 at 57°C, HPV-18, 31, and 33 at 45°C, HPV-45 and 52 at 56°C and HPV-58 at 54°C.</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t>In order to remove excessive unbounded DNA, the tubes were centrifuged at 16000 ×g for 10 min. Following supernatant removal, the red oily precipitate was then washed once with PBS containing 0.01% Tween 20 and twice with PBS (pH 7.2-7.6 at 25</w:t>
      </w:r>
      <w:r w:rsidRPr="00D82EAE">
        <w:rPr>
          <w:rFonts w:ascii="Times New Roman" w:eastAsia="Calibri" w:hAnsi="Times New Roman" w:cs="Times New Roman"/>
          <w:sz w:val="24"/>
          <w:szCs w:val="20"/>
        </w:rPr>
        <w:sym w:font="Symbol" w:char="F0B0"/>
      </w:r>
      <w:r w:rsidRPr="00D82EAE">
        <w:rPr>
          <w:rFonts w:ascii="Times New Roman" w:eastAsia="Calibri" w:hAnsi="Times New Roman" w:cs="Times New Roman"/>
          <w:sz w:val="24"/>
          <w:szCs w:val="20"/>
        </w:rPr>
        <w:t xml:space="preserve">C), and centrifuged at 16000 × g for 10 min and the pellet was dispersed into 20 µL double distilled water. </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lastRenderedPageBreak/>
        <w:t xml:space="preserve">DNA bound to the probe-AuNP conjugate </w:t>
      </w:r>
      <w:r w:rsidRPr="00D82EAE">
        <w:rPr>
          <w:rFonts w:ascii="Times New Roman" w:eastAsia="Calibri" w:hAnsi="Times New Roman" w:cs="Times New Roman"/>
          <w:noProof/>
          <w:sz w:val="24"/>
          <w:szCs w:val="20"/>
        </w:rPr>
        <w:t>was</w:t>
      </w:r>
      <w:r w:rsidRPr="00D82EAE">
        <w:rPr>
          <w:rFonts w:ascii="Times New Roman" w:eastAsia="Calibri" w:hAnsi="Times New Roman" w:cs="Times New Roman"/>
          <w:sz w:val="24"/>
          <w:szCs w:val="20"/>
        </w:rPr>
        <w:t xml:space="preserve"> eluted by heat treatment. Eppendorf tubes were heated at 95°C for 2.5 min and then centrifuged at 16000 ×g for 10 min. The supernatant was transferred to a fresh tube and used directly in the PCR assay.</w:t>
      </w:r>
    </w:p>
    <w:p w:rsidR="00D82EAE" w:rsidRPr="00D82EAE" w:rsidRDefault="00D82EAE" w:rsidP="00D82EAE">
      <w:pPr>
        <w:numPr>
          <w:ilvl w:val="2"/>
          <w:numId w:val="1"/>
        </w:numPr>
        <w:spacing w:after="0" w:line="480" w:lineRule="auto"/>
        <w:contextualSpacing/>
        <w:jc w:val="both"/>
        <w:rPr>
          <w:rFonts w:ascii="Times New Roman" w:eastAsia="Calibri" w:hAnsi="Times New Roman" w:cs="Times New Roman"/>
          <w:b/>
          <w:bCs/>
          <w:sz w:val="24"/>
          <w:szCs w:val="20"/>
        </w:rPr>
      </w:pPr>
      <w:r w:rsidRPr="00D82EAE">
        <w:rPr>
          <w:rFonts w:ascii="Times New Roman" w:eastAsia="Calibri" w:hAnsi="Times New Roman" w:cs="Times New Roman"/>
          <w:b/>
          <w:bCs/>
          <w:sz w:val="24"/>
          <w:szCs w:val="20"/>
        </w:rPr>
        <w:t xml:space="preserve">SYBR </w:t>
      </w:r>
      <w:r w:rsidRPr="00D82EAE">
        <w:rPr>
          <w:rFonts w:ascii="Times New Roman" w:eastAsia="Calibri" w:hAnsi="Times New Roman" w:cs="Times New Roman"/>
          <w:b/>
          <w:bCs/>
          <w:noProof/>
          <w:sz w:val="24"/>
          <w:szCs w:val="20"/>
        </w:rPr>
        <w:t>Green-based</w:t>
      </w:r>
      <w:r w:rsidRPr="00D82EAE">
        <w:rPr>
          <w:rFonts w:ascii="Times New Roman" w:eastAsia="Calibri" w:hAnsi="Times New Roman" w:cs="Times New Roman"/>
          <w:b/>
          <w:bCs/>
          <w:sz w:val="24"/>
          <w:szCs w:val="20"/>
        </w:rPr>
        <w:t xml:space="preserve"> quantitative real-time PCR</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t xml:space="preserve">The DNA purification method accuracy was investigated by quantitative </w:t>
      </w:r>
      <w:r w:rsidRPr="00D82EAE">
        <w:rPr>
          <w:rFonts w:ascii="Times New Roman" w:eastAsia="Calibri" w:hAnsi="Times New Roman" w:cs="Times New Roman"/>
          <w:noProof/>
          <w:sz w:val="24"/>
          <w:szCs w:val="20"/>
        </w:rPr>
        <w:t>real-time</w:t>
      </w:r>
      <w:r w:rsidRPr="00D82EAE">
        <w:rPr>
          <w:rFonts w:ascii="Times New Roman" w:eastAsia="Calibri" w:hAnsi="Times New Roman" w:cs="Times New Roman"/>
          <w:sz w:val="24"/>
          <w:szCs w:val="20"/>
        </w:rPr>
        <w:t xml:space="preserve"> PCR using GP5+/GP6+ consensus primers and </w:t>
      </w:r>
      <w:r w:rsidRPr="00D82EAE">
        <w:rPr>
          <w:rFonts w:ascii="Times New Roman" w:eastAsia="Calibri" w:hAnsi="Times New Roman" w:cs="Times New Roman"/>
          <w:noProof/>
          <w:sz w:val="24"/>
          <w:szCs w:val="20"/>
        </w:rPr>
        <w:t>Takara</w:t>
      </w:r>
      <w:r w:rsidRPr="00D82EAE">
        <w:rPr>
          <w:rFonts w:ascii="Times New Roman" w:eastAsia="Calibri" w:hAnsi="Times New Roman" w:cs="Times New Roman"/>
          <w:sz w:val="24"/>
          <w:szCs w:val="20"/>
        </w:rPr>
        <w:t xml:space="preserve"> SYBR Green Master Mix as described above, except that a unit of </w:t>
      </w:r>
      <w:r w:rsidRPr="00D82EAE">
        <w:rPr>
          <w:rFonts w:ascii="Times New Roman" w:eastAsia="Calibri" w:hAnsi="Times New Roman" w:cs="Times New Roman"/>
          <w:i/>
          <w:iCs/>
          <w:sz w:val="24"/>
          <w:szCs w:val="20"/>
        </w:rPr>
        <w:t>Taq</w:t>
      </w:r>
      <w:r w:rsidRPr="00D82EAE">
        <w:rPr>
          <w:rFonts w:ascii="Times New Roman" w:eastAsia="Calibri" w:hAnsi="Times New Roman" w:cs="Times New Roman"/>
          <w:sz w:val="24"/>
          <w:szCs w:val="20"/>
        </w:rPr>
        <w:t xml:space="preserve"> DNA polymerase and bovine serum albumin (700 ng/µL) was added to enhance PCR amplification yield. For quantification of HPV DNA and to generate standard curves, in separate experiments, </w:t>
      </w:r>
      <w:r w:rsidRPr="00D82EAE">
        <w:rPr>
          <w:rFonts w:ascii="Times New Roman" w:eastAsia="Calibri" w:hAnsi="Times New Roman" w:cs="Times New Roman"/>
          <w:noProof/>
          <w:sz w:val="24"/>
          <w:szCs w:val="20"/>
        </w:rPr>
        <w:t>real-time</w:t>
      </w:r>
      <w:r w:rsidRPr="00D82EAE">
        <w:rPr>
          <w:rFonts w:ascii="Times New Roman" w:eastAsia="Calibri" w:hAnsi="Times New Roman" w:cs="Times New Roman"/>
          <w:sz w:val="24"/>
          <w:szCs w:val="20"/>
        </w:rPr>
        <w:t xml:space="preserve"> PCR assay was performed on ten-fold dilution series of each plasmids DNA containing high-risk HPV genotypes 16, 18, 31, 33, 45, 52, and 58 (ranging from 10</w:t>
      </w:r>
      <w:r w:rsidRPr="00D82EAE">
        <w:rPr>
          <w:rFonts w:ascii="Times New Roman" w:eastAsia="Calibri" w:hAnsi="Times New Roman" w:cs="Times New Roman"/>
          <w:sz w:val="24"/>
          <w:szCs w:val="20"/>
          <w:vertAlign w:val="superscript"/>
        </w:rPr>
        <w:t>10</w:t>
      </w:r>
      <w:r w:rsidRPr="00D82EAE">
        <w:rPr>
          <w:rFonts w:ascii="Times New Roman" w:eastAsia="Calibri" w:hAnsi="Times New Roman" w:cs="Times New Roman"/>
          <w:sz w:val="24"/>
          <w:szCs w:val="20"/>
        </w:rPr>
        <w:t xml:space="preserve"> copies to 1 copy per reaction). </w:t>
      </w:r>
    </w:p>
    <w:p w:rsidR="00D82EAE" w:rsidRPr="00D82EAE" w:rsidRDefault="00D82EAE" w:rsidP="00D82EAE">
      <w:pPr>
        <w:spacing w:after="0" w:line="480" w:lineRule="auto"/>
        <w:ind w:firstLine="202"/>
        <w:jc w:val="both"/>
        <w:rPr>
          <w:rFonts w:ascii="Times" w:eastAsia="Calibri" w:hAnsi="Times" w:cs="Times New Roman"/>
          <w:b/>
          <w:bCs/>
          <w:noProof/>
          <w:sz w:val="24"/>
          <w:szCs w:val="20"/>
        </w:rPr>
      </w:pP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noProof/>
          <w:sz w:val="24"/>
          <w:szCs w:val="20"/>
        </w:rPr>
        <w:t>Sensitivity</w:t>
      </w:r>
      <w:r w:rsidRPr="00D82EAE">
        <w:rPr>
          <w:rFonts w:ascii="Times" w:eastAsia="Calibri" w:hAnsi="Times" w:cs="Times New Roman"/>
          <w:b/>
          <w:bCs/>
          <w:sz w:val="24"/>
          <w:szCs w:val="20"/>
        </w:rPr>
        <w:t xml:space="preserve"> evaluation of DNA extraction methods</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To determine the sensitivity of the DNA extraction methods, HPV-16 DNA containing plasmid was initially amplified by PCR assay using GP5+/GP6+ consensus primers and the amplicons concentration was determined. Following, 8×10</w:t>
      </w:r>
      <w:r w:rsidRPr="00D82EAE">
        <w:rPr>
          <w:rFonts w:ascii="Times" w:eastAsia="Calibri" w:hAnsi="Times" w:cs="Times New Roman"/>
          <w:sz w:val="24"/>
          <w:szCs w:val="20"/>
          <w:vertAlign w:val="superscript"/>
        </w:rPr>
        <w:t xml:space="preserve">2 </w:t>
      </w:r>
      <w:r w:rsidRPr="00D82EAE">
        <w:rPr>
          <w:rFonts w:ascii="Times" w:eastAsia="Calibri" w:hAnsi="Times" w:cs="Times New Roman"/>
          <w:sz w:val="24"/>
          <w:szCs w:val="20"/>
        </w:rPr>
        <w:t>to 8 × 10</w:t>
      </w:r>
      <w:r w:rsidRPr="00D82EAE">
        <w:rPr>
          <w:rFonts w:ascii="Times" w:eastAsia="Calibri" w:hAnsi="Times" w:cs="Times New Roman"/>
          <w:sz w:val="24"/>
          <w:szCs w:val="20"/>
          <w:vertAlign w:val="superscript"/>
        </w:rPr>
        <w:t>4</w:t>
      </w:r>
      <w:r w:rsidRPr="00D82EAE">
        <w:rPr>
          <w:rFonts w:ascii="Times" w:eastAsia="Calibri" w:hAnsi="Times" w:cs="Times New Roman"/>
          <w:sz w:val="24"/>
          <w:szCs w:val="20"/>
        </w:rPr>
        <w:t xml:space="preserve"> copies/µL of the amplicons were added to 200 µL of HPV DNA negative tissue lysate and the tubes were subjected to DNA purification by AuNPs method and Qiagen FFPE DNA extraction kit. </w:t>
      </w:r>
      <w:r w:rsidRPr="00D82EAE">
        <w:rPr>
          <w:rFonts w:ascii="Times" w:eastAsia="Calibri" w:hAnsi="Times" w:cs="Times New Roman"/>
          <w:noProof/>
          <w:sz w:val="24"/>
          <w:szCs w:val="20"/>
        </w:rPr>
        <w:t>Real-time</w:t>
      </w:r>
      <w:r w:rsidRPr="00D82EAE">
        <w:rPr>
          <w:rFonts w:ascii="Times" w:eastAsia="Calibri" w:hAnsi="Times" w:cs="Times New Roman"/>
          <w:sz w:val="24"/>
          <w:szCs w:val="20"/>
        </w:rPr>
        <w:t xml:space="preserve"> PCR assay was then performed to evaluate the sensitivity of each extraction methods. The experiments were repeated thrice.</w:t>
      </w:r>
    </w:p>
    <w:p w:rsidR="00D82EAE" w:rsidRPr="00D82EAE" w:rsidRDefault="00D82EAE" w:rsidP="00D82EAE">
      <w:pPr>
        <w:spacing w:after="0" w:line="480" w:lineRule="auto"/>
        <w:jc w:val="both"/>
        <w:rPr>
          <w:rFonts w:ascii="Times" w:eastAsia="Calibri" w:hAnsi="Times" w:cs="Times New Roman"/>
          <w:sz w:val="24"/>
          <w:szCs w:val="20"/>
          <w:lang w:bidi="fa-IR"/>
        </w:rPr>
      </w:pPr>
    </w:p>
    <w:p w:rsidR="00D82EAE" w:rsidRPr="00D82EAE" w:rsidRDefault="00D82EAE" w:rsidP="00D82EAE">
      <w:pPr>
        <w:numPr>
          <w:ilvl w:val="2"/>
          <w:numId w:val="1"/>
        </w:numPr>
        <w:spacing w:after="0" w:line="480" w:lineRule="auto"/>
        <w:jc w:val="both"/>
        <w:rPr>
          <w:rFonts w:ascii="Times New Roman" w:eastAsia="Calibri" w:hAnsi="Times New Roman" w:cs="Times New Roman"/>
          <w:b/>
          <w:bCs/>
          <w:sz w:val="24"/>
          <w:szCs w:val="20"/>
        </w:rPr>
      </w:pPr>
      <w:r w:rsidRPr="00D82EAE">
        <w:rPr>
          <w:rFonts w:ascii="Times New Roman" w:eastAsia="Calibri" w:hAnsi="Times New Roman" w:cs="Times New Roman"/>
          <w:b/>
          <w:bCs/>
          <w:sz w:val="24"/>
          <w:szCs w:val="20"/>
        </w:rPr>
        <w:t xml:space="preserve">DNA purification from FFPE cervical tissue samples </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lastRenderedPageBreak/>
        <w:t xml:space="preserve">To evaluate the efficiency of </w:t>
      </w:r>
      <w:r w:rsidRPr="00D82EAE">
        <w:rPr>
          <w:rFonts w:ascii="Times New Roman" w:eastAsia="Calibri" w:hAnsi="Times New Roman" w:cs="Times New Roman"/>
          <w:noProof/>
          <w:sz w:val="24"/>
          <w:szCs w:val="20"/>
        </w:rPr>
        <w:t>present</w:t>
      </w:r>
      <w:r w:rsidRPr="00D82EAE">
        <w:rPr>
          <w:rFonts w:ascii="Times New Roman" w:eastAsia="Calibri" w:hAnsi="Times New Roman" w:cs="Times New Roman"/>
          <w:sz w:val="24"/>
          <w:szCs w:val="20"/>
        </w:rPr>
        <w:t xml:space="preserve"> DNA purification method on FFPE tissue samples, a total of 9 FFPE cervical cancer tissue specimens were obtained from the </w:t>
      </w:r>
      <w:r w:rsidRPr="00D82EAE">
        <w:rPr>
          <w:rFonts w:ascii="Times New Roman" w:eastAsia="Calibri" w:hAnsi="Times New Roman" w:cs="Times New Roman"/>
          <w:noProof/>
          <w:sz w:val="24"/>
          <w:szCs w:val="20"/>
        </w:rPr>
        <w:t>archive</w:t>
      </w:r>
      <w:r w:rsidRPr="00D82EAE">
        <w:rPr>
          <w:rFonts w:ascii="Times New Roman" w:eastAsia="Calibri" w:hAnsi="Times New Roman" w:cs="Times New Roman"/>
          <w:sz w:val="24"/>
          <w:szCs w:val="20"/>
        </w:rPr>
        <w:t xml:space="preserve"> of pathology, Namazi Hospital, Shiraz, Iran. The duration of formalin storage for the clinical specimens used in this study was more than 6 months. Eight 10-μm thick sections were cut and placed in a 1.5 mL </w:t>
      </w:r>
      <w:proofErr w:type="spellStart"/>
      <w:r w:rsidRPr="00D82EAE">
        <w:rPr>
          <w:rFonts w:ascii="Times New Roman" w:eastAsia="Calibri" w:hAnsi="Times New Roman" w:cs="Times New Roman"/>
          <w:sz w:val="24"/>
          <w:szCs w:val="20"/>
        </w:rPr>
        <w:t>microcentrifuge</w:t>
      </w:r>
      <w:proofErr w:type="spellEnd"/>
      <w:r w:rsidRPr="00D82EAE">
        <w:rPr>
          <w:rFonts w:ascii="Times New Roman" w:eastAsia="Calibri" w:hAnsi="Times New Roman" w:cs="Times New Roman"/>
          <w:sz w:val="24"/>
          <w:szCs w:val="20"/>
        </w:rPr>
        <w:t xml:space="preserve"> tube and were subjected to purification. Briefly, 180 µL of lysis buffer containing 10 mM</w:t>
      </w:r>
      <w:r w:rsidRPr="00D82EAE">
        <w:rPr>
          <w:rFonts w:ascii="Times New Roman" w:eastAsia="Calibri" w:hAnsi="Times New Roman" w:cs="Times New Roman"/>
          <w:i/>
          <w:iCs/>
          <w:sz w:val="24"/>
          <w:szCs w:val="20"/>
        </w:rPr>
        <w:t xml:space="preserve"> </w:t>
      </w:r>
      <w:r w:rsidRPr="00D82EAE">
        <w:rPr>
          <w:rFonts w:ascii="Times New Roman" w:eastAsia="Calibri" w:hAnsi="Times New Roman" w:cs="Times New Roman"/>
          <w:sz w:val="24"/>
          <w:szCs w:val="20"/>
        </w:rPr>
        <w:t>NaCl, 1 m</w:t>
      </w:r>
      <w:r w:rsidRPr="00D82EAE">
        <w:rPr>
          <w:rFonts w:ascii="Times New Roman" w:eastAsia="Calibri" w:hAnsi="Times New Roman" w:cs="Times New Roman"/>
          <w:i/>
          <w:iCs/>
          <w:sz w:val="24"/>
          <w:szCs w:val="20"/>
        </w:rPr>
        <w:t xml:space="preserve">M </w:t>
      </w:r>
      <w:r w:rsidRPr="00D82EAE">
        <w:rPr>
          <w:rFonts w:ascii="Times New Roman" w:eastAsia="Calibri" w:hAnsi="Times New Roman" w:cs="Times New Roman"/>
          <w:sz w:val="24"/>
          <w:szCs w:val="20"/>
        </w:rPr>
        <w:t>EDTA, 20 mM</w:t>
      </w:r>
      <w:r w:rsidRPr="00D82EAE">
        <w:rPr>
          <w:rFonts w:ascii="Times New Roman" w:eastAsia="Calibri" w:hAnsi="Times New Roman" w:cs="Times New Roman"/>
          <w:i/>
          <w:iCs/>
          <w:sz w:val="24"/>
          <w:szCs w:val="20"/>
        </w:rPr>
        <w:t xml:space="preserve"> </w:t>
      </w:r>
      <w:r w:rsidRPr="00D82EAE">
        <w:rPr>
          <w:rFonts w:ascii="Times New Roman" w:eastAsia="Calibri" w:hAnsi="Times New Roman" w:cs="Times New Roman"/>
          <w:sz w:val="24"/>
          <w:szCs w:val="20"/>
        </w:rPr>
        <w:t xml:space="preserve">Tris-HCl, and 10% sodium dodecyl sulfate (SDS) in pH 8.0, was added directly to the paraffin sections </w:t>
      </w:r>
      <w:r w:rsidRPr="00D82EAE">
        <w:rPr>
          <w:rFonts w:ascii="Times New Roman" w:eastAsia="Calibri" w:hAnsi="Times New Roman" w:cs="Times New Roman"/>
          <w:noProof/>
          <w:sz w:val="24"/>
          <w:szCs w:val="20"/>
        </w:rPr>
        <w:t>and incubated for</w:t>
      </w:r>
      <w:r w:rsidRPr="00D82EAE">
        <w:rPr>
          <w:rFonts w:ascii="Times New Roman" w:eastAsia="Calibri" w:hAnsi="Times New Roman" w:cs="Times New Roman"/>
          <w:sz w:val="24"/>
          <w:szCs w:val="20"/>
        </w:rPr>
        <w:t xml:space="preserve"> 20 min at 120°C. Melted paraffin wax was then mixed to obtain a homogenous suspension in lysis buffer. Tubes were briefly centrifuged to bring any condensation down from the walls and lid. Proteinase K at a </w:t>
      </w:r>
      <w:r w:rsidRPr="00D82EAE">
        <w:rPr>
          <w:rFonts w:ascii="Times New Roman" w:eastAsia="Calibri" w:hAnsi="Times New Roman" w:cs="Times New Roman"/>
          <w:noProof/>
          <w:sz w:val="24"/>
          <w:szCs w:val="20"/>
        </w:rPr>
        <w:t>concentration</w:t>
      </w:r>
      <w:r w:rsidRPr="00D82EAE">
        <w:rPr>
          <w:rFonts w:ascii="Times New Roman" w:eastAsia="Calibri" w:hAnsi="Times New Roman" w:cs="Times New Roman"/>
          <w:sz w:val="24"/>
          <w:szCs w:val="20"/>
        </w:rPr>
        <w:t xml:space="preserve"> of 10mg/mL was added to the tubes and incubated at 65°C for 16 hours in the </w:t>
      </w:r>
      <w:r w:rsidRPr="00D82EAE">
        <w:rPr>
          <w:rFonts w:ascii="Times New Roman" w:eastAsia="Calibri" w:hAnsi="Times New Roman" w:cs="Times New Roman"/>
          <w:noProof/>
          <w:sz w:val="24"/>
          <w:szCs w:val="20"/>
        </w:rPr>
        <w:t>heat</w:t>
      </w:r>
      <w:r w:rsidRPr="00D82EAE">
        <w:rPr>
          <w:rFonts w:ascii="Times New Roman" w:eastAsia="Calibri" w:hAnsi="Times New Roman" w:cs="Times New Roman"/>
          <w:sz w:val="24"/>
          <w:szCs w:val="20"/>
        </w:rPr>
        <w:t xml:space="preserve"> block. Tissue lysate was then adopted as the target DNA to perform the proposed purification strategy as shown in </w:t>
      </w:r>
      <w:bookmarkStart w:id="0" w:name="_GoBack"/>
      <w:r w:rsidRPr="00D82EAE">
        <w:rPr>
          <w:rFonts w:ascii="Times New Roman" w:eastAsia="Calibri" w:hAnsi="Times New Roman" w:cs="Times New Roman"/>
          <w:sz w:val="24"/>
          <w:szCs w:val="20"/>
        </w:rPr>
        <w:t>Schem</w:t>
      </w:r>
      <w:bookmarkEnd w:id="0"/>
      <w:r w:rsidRPr="00D82EAE">
        <w:rPr>
          <w:rFonts w:ascii="Times New Roman" w:eastAsia="Calibri" w:hAnsi="Times New Roman" w:cs="Times New Roman"/>
          <w:sz w:val="24"/>
          <w:szCs w:val="20"/>
        </w:rPr>
        <w:t xml:space="preserve">e </w:t>
      </w:r>
      <w:r w:rsidR="00A10FB5">
        <w:rPr>
          <w:rFonts w:ascii="Times New Roman" w:eastAsia="Calibri" w:hAnsi="Times New Roman" w:cs="Times New Roman"/>
          <w:sz w:val="24"/>
          <w:szCs w:val="20"/>
        </w:rPr>
        <w:t>S</w:t>
      </w:r>
      <w:r w:rsidRPr="00D82EAE">
        <w:rPr>
          <w:rFonts w:ascii="Times New Roman" w:eastAsia="Calibri" w:hAnsi="Times New Roman" w:cs="Times New Roman"/>
          <w:sz w:val="24"/>
          <w:szCs w:val="20"/>
        </w:rPr>
        <w:t xml:space="preserve">1. </w:t>
      </w:r>
    </w:p>
    <w:p w:rsidR="00D82EAE" w:rsidRPr="00D82EAE" w:rsidRDefault="00D82EAE" w:rsidP="00D82EAE">
      <w:pPr>
        <w:spacing w:after="0" w:line="480" w:lineRule="auto"/>
        <w:ind w:firstLine="202"/>
        <w:jc w:val="both"/>
        <w:rPr>
          <w:rFonts w:ascii="Times New Roman" w:eastAsia="Calibri" w:hAnsi="Times New Roman" w:cs="Times New Roman"/>
          <w:sz w:val="24"/>
          <w:szCs w:val="20"/>
        </w:rPr>
      </w:pPr>
      <w:r w:rsidRPr="00D82EAE">
        <w:rPr>
          <w:rFonts w:ascii="Times New Roman" w:eastAsia="Calibri" w:hAnsi="Times New Roman" w:cs="Times New Roman"/>
          <w:sz w:val="24"/>
          <w:szCs w:val="20"/>
        </w:rPr>
        <w:t>DNA extracts were tested using quantitative real-time PCR assay, and its concentration was calculated from the standard curve. The HPV genotypes were then confirmed by The Ampliquality HPV-TYPE genotyping test which is based on reverse hybridization method.</w:t>
      </w:r>
    </w:p>
    <w:p w:rsidR="00D82EAE" w:rsidRPr="00D82EAE" w:rsidRDefault="00C6674C" w:rsidP="00D82EAE">
      <w:pPr>
        <w:spacing w:after="200" w:line="480" w:lineRule="auto"/>
        <w:jc w:val="both"/>
        <w:rPr>
          <w:rFonts w:ascii="Times" w:eastAsia="Calibri" w:hAnsi="Times" w:cs="Times New Roman"/>
          <w:b/>
          <w:bCs/>
          <w:sz w:val="24"/>
          <w:szCs w:val="20"/>
        </w:rPr>
      </w:pPr>
      <w:r>
        <w:rPr>
          <w:rFonts w:ascii="Times" w:eastAsia="Calibri" w:hAnsi="Times" w:cs="Times New Roman"/>
          <w:b/>
          <w:bCs/>
          <w:noProof/>
          <w:sz w:val="24"/>
          <w:szCs w:val="20"/>
        </w:rPr>
        <w:lastRenderedPageBreak/>
        <w:drawing>
          <wp:inline distT="0" distB="0" distL="0" distR="0">
            <wp:extent cx="5943600" cy="4018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18915"/>
                    </a:xfrm>
                    <a:prstGeom prst="rect">
                      <a:avLst/>
                    </a:prstGeom>
                  </pic:spPr>
                </pic:pic>
              </a:graphicData>
            </a:graphic>
          </wp:inline>
        </w:drawing>
      </w:r>
    </w:p>
    <w:p w:rsidR="00D82EAE" w:rsidRPr="00C85A3C" w:rsidRDefault="00C85A3C" w:rsidP="00C85A3C">
      <w:pPr>
        <w:spacing w:after="200" w:line="480" w:lineRule="auto"/>
        <w:jc w:val="both"/>
        <w:rPr>
          <w:rFonts w:ascii="Times" w:eastAsia="Calibri" w:hAnsi="Times" w:cs="Times New Roman"/>
        </w:rPr>
      </w:pPr>
      <w:r w:rsidRPr="00C85A3C">
        <w:rPr>
          <w:rFonts w:ascii="Times" w:eastAsia="Calibri" w:hAnsi="Times" w:cs="Times New Roman"/>
          <w:b/>
          <w:bCs/>
        </w:rPr>
        <w:t xml:space="preserve">Scheme </w:t>
      </w:r>
      <w:r w:rsidR="00A10FB5">
        <w:rPr>
          <w:rFonts w:ascii="Times" w:eastAsia="Calibri" w:hAnsi="Times" w:cs="Times New Roman"/>
          <w:b/>
          <w:bCs/>
        </w:rPr>
        <w:t>S</w:t>
      </w:r>
      <w:r w:rsidRPr="00C85A3C">
        <w:rPr>
          <w:rFonts w:ascii="Times" w:eastAsia="Calibri" w:hAnsi="Times" w:cs="Times New Roman"/>
          <w:b/>
          <w:bCs/>
        </w:rPr>
        <w:t>1</w:t>
      </w:r>
      <w:r w:rsidR="00A10FB5">
        <w:rPr>
          <w:rFonts w:ascii="Times" w:eastAsia="Calibri" w:hAnsi="Times" w:cs="Times New Roman"/>
          <w:b/>
          <w:bCs/>
        </w:rPr>
        <w:t>,</w:t>
      </w:r>
      <w:r w:rsidRPr="00C85A3C">
        <w:rPr>
          <w:rFonts w:ascii="Times" w:eastAsia="Calibri" w:hAnsi="Times" w:cs="Times New Roman"/>
        </w:rPr>
        <w:t xml:space="preserve"> </w:t>
      </w:r>
      <w:r w:rsidRPr="00C85A3C">
        <w:rPr>
          <w:rFonts w:ascii="Times" w:eastAsia="Calibri" w:hAnsi="Times" w:cs="Times New Roman"/>
          <w:noProof/>
        </w:rPr>
        <w:t>Schematic</w:t>
      </w:r>
      <w:r w:rsidRPr="00C85A3C">
        <w:rPr>
          <w:rFonts w:ascii="Times" w:eastAsia="Calibri" w:hAnsi="Times" w:cs="Times New Roman"/>
        </w:rPr>
        <w:t xml:space="preserve"> diagram shows DNA purification based on AuNPs by liquid phase hybridization approach. Step 1: Cell disruption using lysis buffer and proteinase K; Step 2: denaturation of target DNA; Step 3: hybridization of AuNP probes to target DNA; Step 4: detachment of AuNPs from the target HPV DNA.</w:t>
      </w:r>
    </w:p>
    <w:p w:rsidR="00D82EAE" w:rsidRPr="00D82EAE" w:rsidRDefault="00D82EAE" w:rsidP="00D82EAE">
      <w:pPr>
        <w:numPr>
          <w:ilvl w:val="2"/>
          <w:numId w:val="1"/>
        </w:numPr>
        <w:spacing w:after="0" w:line="480" w:lineRule="auto"/>
        <w:contextualSpacing/>
        <w:jc w:val="both"/>
        <w:rPr>
          <w:rFonts w:ascii="Times" w:eastAsia="Calibri" w:hAnsi="Times" w:cs="Times New Roman"/>
          <w:b/>
          <w:bCs/>
          <w:sz w:val="24"/>
          <w:szCs w:val="20"/>
        </w:rPr>
      </w:pPr>
      <w:r w:rsidRPr="00D82EAE">
        <w:rPr>
          <w:rFonts w:ascii="Times" w:eastAsia="Calibri" w:hAnsi="Times" w:cs="Times New Roman"/>
          <w:b/>
          <w:bCs/>
          <w:sz w:val="24"/>
          <w:szCs w:val="20"/>
        </w:rPr>
        <w:t>Specificity determination of assay</w:t>
      </w:r>
    </w:p>
    <w:p w:rsidR="00D82EAE" w:rsidRPr="00D82EAE" w:rsidRDefault="00D82EAE" w:rsidP="00D82EAE">
      <w:pPr>
        <w:spacing w:after="0" w:line="480" w:lineRule="auto"/>
        <w:ind w:firstLine="202"/>
        <w:jc w:val="both"/>
        <w:rPr>
          <w:rFonts w:ascii="Times" w:eastAsia="Calibri" w:hAnsi="Times" w:cs="Times New Roman"/>
          <w:sz w:val="24"/>
          <w:szCs w:val="20"/>
        </w:rPr>
      </w:pPr>
      <w:r w:rsidRPr="00D82EAE">
        <w:rPr>
          <w:rFonts w:ascii="Times" w:eastAsia="Calibri" w:hAnsi="Times" w:cs="Times New Roman"/>
          <w:sz w:val="24"/>
          <w:szCs w:val="20"/>
        </w:rPr>
        <w:t xml:space="preserve">To perform the specificity of AuNPs purification method, </w:t>
      </w:r>
      <w:r w:rsidRPr="00D82EAE">
        <w:rPr>
          <w:rFonts w:ascii="Times New Roman" w:eastAsia="Calibri" w:hAnsi="Times New Roman" w:cs="Times New Roman"/>
          <w:noProof/>
          <w:sz w:val="24"/>
          <w:szCs w:val="20"/>
        </w:rPr>
        <w:t>9 HPV negative</w:t>
      </w:r>
      <w:r w:rsidRPr="00D82EAE">
        <w:rPr>
          <w:rFonts w:ascii="Times" w:eastAsia="Times New Roman" w:hAnsi="Times" w:cs="Times New Roman"/>
          <w:sz w:val="24"/>
          <w:szCs w:val="20"/>
        </w:rPr>
        <w:t xml:space="preserve"> FFPE samples </w:t>
      </w:r>
      <w:r w:rsidRPr="00D82EAE">
        <w:rPr>
          <w:rFonts w:ascii="Times New Roman" w:eastAsia="Calibri" w:hAnsi="Times New Roman" w:cs="Times New Roman"/>
          <w:noProof/>
          <w:sz w:val="24"/>
          <w:szCs w:val="20"/>
        </w:rPr>
        <w:t>from benign ovarian tumor,</w:t>
      </w:r>
      <w:r w:rsidRPr="00D82EAE">
        <w:rPr>
          <w:rFonts w:ascii="Times" w:eastAsia="Calibri" w:hAnsi="Times" w:cs="Times New Roman"/>
          <w:sz w:val="24"/>
          <w:szCs w:val="20"/>
        </w:rPr>
        <w:t xml:space="preserve"> and FFPE cervical specimens previously tested positive for the low-risk HPV genotypes 6, 53, 87, and 90 were subjected to the purification and genotyping method as described above.</w:t>
      </w:r>
    </w:p>
    <w:p w:rsidR="00D82EAE" w:rsidRPr="00D82EAE" w:rsidRDefault="00D82EAE" w:rsidP="00D82EAE">
      <w:pPr>
        <w:spacing w:after="0" w:line="480" w:lineRule="auto"/>
        <w:ind w:firstLine="202"/>
        <w:jc w:val="both"/>
        <w:rPr>
          <w:rFonts w:ascii="Times" w:eastAsia="Calibri" w:hAnsi="Times" w:cs="Times New Roman"/>
          <w:sz w:val="24"/>
          <w:szCs w:val="20"/>
          <w:lang w:bidi="fa-IR"/>
        </w:rPr>
      </w:pPr>
    </w:p>
    <w:p w:rsidR="00D82EAE" w:rsidRPr="00D82EAE" w:rsidRDefault="00D82EAE" w:rsidP="00D82EAE">
      <w:pPr>
        <w:spacing w:after="0" w:line="480" w:lineRule="auto"/>
        <w:ind w:firstLine="202"/>
        <w:jc w:val="both"/>
        <w:rPr>
          <w:rFonts w:ascii="Times" w:eastAsia="Calibri" w:hAnsi="Times" w:cs="Times New Roman"/>
          <w:sz w:val="24"/>
          <w:szCs w:val="20"/>
          <w:lang w:bidi="fa-IR"/>
        </w:rPr>
      </w:pPr>
    </w:p>
    <w:p w:rsidR="00D82EAE" w:rsidRPr="00D82EAE" w:rsidRDefault="00D82EAE" w:rsidP="00D82EAE">
      <w:pPr>
        <w:spacing w:after="0" w:line="480" w:lineRule="auto"/>
        <w:ind w:firstLine="202"/>
        <w:jc w:val="both"/>
        <w:rPr>
          <w:rFonts w:ascii="Times" w:eastAsia="Calibri" w:hAnsi="Times" w:cs="Times New Roman"/>
          <w:sz w:val="24"/>
          <w:szCs w:val="20"/>
          <w:lang w:bidi="fa-IR"/>
        </w:rPr>
      </w:pPr>
    </w:p>
    <w:p w:rsidR="00D82EAE" w:rsidRPr="00D82EAE" w:rsidRDefault="004328BC" w:rsidP="004328BC">
      <w:pPr>
        <w:spacing w:after="200" w:line="480" w:lineRule="auto"/>
        <w:jc w:val="both"/>
        <w:rPr>
          <w:rFonts w:ascii="Times" w:eastAsia="Times New Roman" w:hAnsi="Times" w:cs="Times New Roman"/>
          <w:sz w:val="24"/>
          <w:szCs w:val="20"/>
        </w:rPr>
      </w:pPr>
      <w:r w:rsidRPr="004328BC">
        <w:rPr>
          <w:rFonts w:ascii="Times" w:eastAsia="Times New Roman" w:hAnsi="Times" w:cs="Times New Roman"/>
          <w:b/>
          <w:bCs/>
          <w:noProof/>
          <w:sz w:val="24"/>
          <w:szCs w:val="20"/>
        </w:rPr>
        <w:t>References</w:t>
      </w:r>
    </w:p>
    <w:p w:rsidR="00D82EAE" w:rsidRPr="00D82EAE" w:rsidRDefault="00D82EAE" w:rsidP="00D82EAE">
      <w:pPr>
        <w:spacing w:after="0" w:line="480" w:lineRule="auto"/>
        <w:ind w:firstLine="202"/>
        <w:jc w:val="both"/>
        <w:rPr>
          <w:rFonts w:ascii="Times" w:eastAsia="Calibri" w:hAnsi="Times" w:cs="Times New Roman"/>
          <w:sz w:val="24"/>
          <w:szCs w:val="20"/>
          <w:lang w:bidi="fa-IR"/>
        </w:rPr>
      </w:pPr>
    </w:p>
    <w:p w:rsidR="00294CFA" w:rsidRPr="00294CFA" w:rsidRDefault="00D82EAE" w:rsidP="00294CFA">
      <w:pPr>
        <w:widowControl w:val="0"/>
        <w:autoSpaceDE w:val="0"/>
        <w:autoSpaceDN w:val="0"/>
        <w:adjustRightInd w:val="0"/>
        <w:spacing w:after="0" w:line="480" w:lineRule="auto"/>
        <w:ind w:left="640" w:hanging="640"/>
        <w:rPr>
          <w:rFonts w:ascii="Times" w:hAnsi="Times" w:cs="Times"/>
          <w:noProof/>
          <w:sz w:val="24"/>
          <w:szCs w:val="24"/>
        </w:rPr>
      </w:pPr>
      <w:r w:rsidRPr="00D82EAE">
        <w:rPr>
          <w:rFonts w:ascii="Times" w:eastAsia="Calibri" w:hAnsi="Times" w:cs="Times New Roman"/>
          <w:sz w:val="24"/>
          <w:szCs w:val="20"/>
        </w:rPr>
        <w:fldChar w:fldCharType="begin" w:fldLock="1"/>
      </w:r>
      <w:r w:rsidRPr="00D82EAE">
        <w:rPr>
          <w:rFonts w:ascii="Times" w:eastAsia="Calibri" w:hAnsi="Times" w:cs="Times New Roman"/>
          <w:sz w:val="24"/>
          <w:szCs w:val="20"/>
        </w:rPr>
        <w:instrText xml:space="preserve">ADDIN Mendeley Bibliography CSL_BIBLIOGRAPHY </w:instrText>
      </w:r>
      <w:r w:rsidRPr="00D82EAE">
        <w:rPr>
          <w:rFonts w:ascii="Times" w:eastAsia="Calibri" w:hAnsi="Times" w:cs="Times New Roman"/>
          <w:sz w:val="24"/>
          <w:szCs w:val="20"/>
        </w:rPr>
        <w:fldChar w:fldCharType="separate"/>
      </w:r>
      <w:r w:rsidR="00294CFA" w:rsidRPr="00294CFA">
        <w:rPr>
          <w:rFonts w:ascii="Times" w:hAnsi="Times" w:cs="Times"/>
          <w:noProof/>
          <w:sz w:val="24"/>
          <w:szCs w:val="24"/>
        </w:rPr>
        <w:t>1.</w:t>
      </w:r>
      <w:r w:rsidR="00294CFA" w:rsidRPr="00294CFA">
        <w:rPr>
          <w:rFonts w:ascii="Times" w:hAnsi="Times" w:cs="Times"/>
          <w:noProof/>
          <w:sz w:val="24"/>
          <w:szCs w:val="24"/>
        </w:rPr>
        <w:tab/>
        <w:t xml:space="preserve">de Roda Husman, A.-M.; Walboomers, J. M. M.; van den Brule, A. J. C.; Meijer, C. J. L. M.; Snijders, P. J. F. </w:t>
      </w:r>
      <w:r w:rsidR="00294CFA" w:rsidRPr="00294CFA">
        <w:rPr>
          <w:rFonts w:ascii="Times" w:hAnsi="Times" w:cs="Times"/>
          <w:i/>
          <w:iCs/>
          <w:noProof/>
          <w:sz w:val="24"/>
          <w:szCs w:val="24"/>
        </w:rPr>
        <w:t>J. Gen. Virol.</w:t>
      </w:r>
      <w:r w:rsidR="00294CFA" w:rsidRPr="00294CFA">
        <w:rPr>
          <w:rFonts w:ascii="Times" w:hAnsi="Times" w:cs="Times"/>
          <w:noProof/>
          <w:sz w:val="24"/>
          <w:szCs w:val="24"/>
        </w:rPr>
        <w:t xml:space="preserve"> </w:t>
      </w:r>
      <w:r w:rsidR="00294CFA" w:rsidRPr="00294CFA">
        <w:rPr>
          <w:rFonts w:ascii="Times" w:hAnsi="Times" w:cs="Times"/>
          <w:b/>
          <w:bCs/>
          <w:noProof/>
          <w:sz w:val="24"/>
          <w:szCs w:val="24"/>
        </w:rPr>
        <w:t>1995,</w:t>
      </w:r>
      <w:r w:rsidR="00294CFA" w:rsidRPr="00294CFA">
        <w:rPr>
          <w:rFonts w:ascii="Times" w:hAnsi="Times" w:cs="Times"/>
          <w:noProof/>
          <w:sz w:val="24"/>
          <w:szCs w:val="24"/>
        </w:rPr>
        <w:t xml:space="preserve"> </w:t>
      </w:r>
      <w:r w:rsidR="00294CFA" w:rsidRPr="00294CFA">
        <w:rPr>
          <w:rFonts w:ascii="Times" w:hAnsi="Times" w:cs="Times"/>
          <w:i/>
          <w:iCs/>
          <w:noProof/>
          <w:sz w:val="24"/>
          <w:szCs w:val="24"/>
        </w:rPr>
        <w:t>76</w:t>
      </w:r>
      <w:r w:rsidR="00294CFA" w:rsidRPr="00294CFA">
        <w:rPr>
          <w:rFonts w:ascii="Times" w:hAnsi="Times" w:cs="Times"/>
          <w:noProof/>
          <w:sz w:val="24"/>
          <w:szCs w:val="24"/>
        </w:rPr>
        <w:t xml:space="preserve"> (4), 1057–1062. https://doi.org/10.1099/0022-1317-76-4-1057.</w:t>
      </w:r>
    </w:p>
    <w:p w:rsidR="00294CFA" w:rsidRPr="00294CFA" w:rsidRDefault="00294CFA" w:rsidP="00294CFA">
      <w:pPr>
        <w:widowControl w:val="0"/>
        <w:autoSpaceDE w:val="0"/>
        <w:autoSpaceDN w:val="0"/>
        <w:adjustRightInd w:val="0"/>
        <w:spacing w:after="0" w:line="480" w:lineRule="auto"/>
        <w:ind w:left="640" w:hanging="640"/>
        <w:rPr>
          <w:rFonts w:ascii="Times" w:hAnsi="Times" w:cs="Times"/>
          <w:noProof/>
          <w:sz w:val="24"/>
          <w:szCs w:val="24"/>
        </w:rPr>
      </w:pPr>
      <w:r w:rsidRPr="00294CFA">
        <w:rPr>
          <w:rFonts w:ascii="Times" w:hAnsi="Times" w:cs="Times"/>
          <w:noProof/>
          <w:sz w:val="24"/>
          <w:szCs w:val="24"/>
        </w:rPr>
        <w:t>2.</w:t>
      </w:r>
      <w:r w:rsidRPr="00294CFA">
        <w:rPr>
          <w:rFonts w:ascii="Times" w:hAnsi="Times" w:cs="Times"/>
          <w:noProof/>
          <w:sz w:val="24"/>
          <w:szCs w:val="24"/>
        </w:rPr>
        <w:tab/>
        <w:t xml:space="preserve">Etame, A. B.; Smith, C. A.; Chan, W. C. W.; Rutka, J. T. </w:t>
      </w:r>
      <w:r w:rsidRPr="00294CFA">
        <w:rPr>
          <w:rFonts w:ascii="Times" w:hAnsi="Times" w:cs="Times"/>
          <w:i/>
          <w:iCs/>
          <w:noProof/>
          <w:sz w:val="24"/>
          <w:szCs w:val="24"/>
        </w:rPr>
        <w:t>Nanomedicine Nanotechnology, Biol. Med.</w:t>
      </w:r>
      <w:r w:rsidRPr="00294CFA">
        <w:rPr>
          <w:rFonts w:ascii="Times" w:hAnsi="Times" w:cs="Times"/>
          <w:noProof/>
          <w:sz w:val="24"/>
          <w:szCs w:val="24"/>
        </w:rPr>
        <w:t xml:space="preserve"> </w:t>
      </w:r>
      <w:r w:rsidRPr="00294CFA">
        <w:rPr>
          <w:rFonts w:ascii="Times" w:hAnsi="Times" w:cs="Times"/>
          <w:b/>
          <w:bCs/>
          <w:noProof/>
          <w:sz w:val="24"/>
          <w:szCs w:val="24"/>
        </w:rPr>
        <w:t>2011,</w:t>
      </w:r>
      <w:r w:rsidRPr="00294CFA">
        <w:rPr>
          <w:rFonts w:ascii="Times" w:hAnsi="Times" w:cs="Times"/>
          <w:noProof/>
          <w:sz w:val="24"/>
          <w:szCs w:val="24"/>
        </w:rPr>
        <w:t xml:space="preserve"> </w:t>
      </w:r>
      <w:r w:rsidRPr="00294CFA">
        <w:rPr>
          <w:rFonts w:ascii="Times" w:hAnsi="Times" w:cs="Times"/>
          <w:i/>
          <w:iCs/>
          <w:noProof/>
          <w:sz w:val="24"/>
          <w:szCs w:val="24"/>
        </w:rPr>
        <w:t>7</w:t>
      </w:r>
      <w:r w:rsidRPr="00294CFA">
        <w:rPr>
          <w:rFonts w:ascii="Times" w:hAnsi="Times" w:cs="Times"/>
          <w:noProof/>
          <w:sz w:val="24"/>
          <w:szCs w:val="24"/>
        </w:rPr>
        <w:t xml:space="preserve"> (6), 992–1000. https://doi.org/10.1016/j.nano.2011.04.004.</w:t>
      </w:r>
    </w:p>
    <w:p w:rsidR="00294CFA" w:rsidRPr="00294CFA" w:rsidRDefault="00294CFA" w:rsidP="00294CFA">
      <w:pPr>
        <w:widowControl w:val="0"/>
        <w:autoSpaceDE w:val="0"/>
        <w:autoSpaceDN w:val="0"/>
        <w:adjustRightInd w:val="0"/>
        <w:spacing w:after="0" w:line="480" w:lineRule="auto"/>
        <w:ind w:left="640" w:hanging="640"/>
        <w:rPr>
          <w:rFonts w:ascii="Times" w:hAnsi="Times" w:cs="Times"/>
          <w:noProof/>
          <w:sz w:val="24"/>
        </w:rPr>
      </w:pPr>
      <w:r w:rsidRPr="00294CFA">
        <w:rPr>
          <w:rFonts w:ascii="Times" w:hAnsi="Times" w:cs="Times"/>
          <w:noProof/>
          <w:sz w:val="24"/>
          <w:szCs w:val="24"/>
        </w:rPr>
        <w:t>3.</w:t>
      </w:r>
      <w:r w:rsidRPr="00294CFA">
        <w:rPr>
          <w:rFonts w:ascii="Times" w:hAnsi="Times" w:cs="Times"/>
          <w:noProof/>
          <w:sz w:val="24"/>
          <w:szCs w:val="24"/>
        </w:rPr>
        <w:tab/>
        <w:t xml:space="preserve">Quintela, I. A.; De Los Reyes, B. G.; Lin, C. S.; Wu, V. C. H. </w:t>
      </w:r>
      <w:r w:rsidRPr="00294CFA">
        <w:rPr>
          <w:rFonts w:ascii="Times" w:hAnsi="Times" w:cs="Times"/>
          <w:i/>
          <w:iCs/>
          <w:noProof/>
          <w:sz w:val="24"/>
          <w:szCs w:val="24"/>
        </w:rPr>
        <w:t>Nanoscale</w:t>
      </w:r>
      <w:r w:rsidRPr="00294CFA">
        <w:rPr>
          <w:rFonts w:ascii="Times" w:hAnsi="Times" w:cs="Times"/>
          <w:noProof/>
          <w:sz w:val="24"/>
          <w:szCs w:val="24"/>
        </w:rPr>
        <w:t xml:space="preserve"> </w:t>
      </w:r>
      <w:r w:rsidRPr="00294CFA">
        <w:rPr>
          <w:rFonts w:ascii="Times" w:hAnsi="Times" w:cs="Times"/>
          <w:b/>
          <w:bCs/>
          <w:noProof/>
          <w:sz w:val="24"/>
          <w:szCs w:val="24"/>
        </w:rPr>
        <w:t>2015,</w:t>
      </w:r>
      <w:r w:rsidRPr="00294CFA">
        <w:rPr>
          <w:rFonts w:ascii="Times" w:hAnsi="Times" w:cs="Times"/>
          <w:noProof/>
          <w:sz w:val="24"/>
          <w:szCs w:val="24"/>
        </w:rPr>
        <w:t xml:space="preserve"> </w:t>
      </w:r>
      <w:r w:rsidRPr="00294CFA">
        <w:rPr>
          <w:rFonts w:ascii="Times" w:hAnsi="Times" w:cs="Times"/>
          <w:i/>
          <w:iCs/>
          <w:noProof/>
          <w:sz w:val="24"/>
          <w:szCs w:val="24"/>
        </w:rPr>
        <w:t>7</w:t>
      </w:r>
      <w:r w:rsidRPr="00294CFA">
        <w:rPr>
          <w:rFonts w:ascii="Times" w:hAnsi="Times" w:cs="Times"/>
          <w:noProof/>
          <w:sz w:val="24"/>
          <w:szCs w:val="24"/>
        </w:rPr>
        <w:t xml:space="preserve"> (6), 2417–2426. https://doi.org/10.1039/c4nr05869k.</w:t>
      </w:r>
    </w:p>
    <w:p w:rsidR="00874EB4" w:rsidRDefault="00D82EAE" w:rsidP="00D82EAE">
      <w:pPr>
        <w:spacing w:after="0" w:line="480" w:lineRule="auto"/>
        <w:ind w:firstLine="202"/>
        <w:jc w:val="both"/>
      </w:pPr>
      <w:r w:rsidRPr="00D82EAE">
        <w:rPr>
          <w:rFonts w:ascii="Times" w:eastAsia="Calibri" w:hAnsi="Times" w:cs="Times New Roman"/>
          <w:sz w:val="24"/>
          <w:szCs w:val="20"/>
        </w:rPr>
        <w:fldChar w:fldCharType="end"/>
      </w:r>
    </w:p>
    <w:sectPr w:rsidR="00874EB4" w:rsidSect="001D69B6">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EA" w:rsidRDefault="006539EA" w:rsidP="001D69B6">
      <w:pPr>
        <w:spacing w:after="0" w:line="240" w:lineRule="auto"/>
      </w:pPr>
      <w:r>
        <w:separator/>
      </w:r>
    </w:p>
  </w:endnote>
  <w:endnote w:type="continuationSeparator" w:id="0">
    <w:p w:rsidR="006539EA" w:rsidRDefault="006539EA" w:rsidP="001D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17263"/>
      <w:docPartObj>
        <w:docPartGallery w:val="Page Numbers (Bottom of Page)"/>
        <w:docPartUnique/>
      </w:docPartObj>
    </w:sdtPr>
    <w:sdtEndPr>
      <w:rPr>
        <w:noProof/>
      </w:rPr>
    </w:sdtEndPr>
    <w:sdtContent>
      <w:p w:rsidR="001D69B6" w:rsidRDefault="001D69B6">
        <w:pPr>
          <w:pStyle w:val="Footer"/>
          <w:jc w:val="center"/>
        </w:pPr>
        <w:r>
          <w:fldChar w:fldCharType="begin"/>
        </w:r>
        <w:r>
          <w:instrText xml:space="preserve"> PAGE   \* MERGEFORMAT </w:instrText>
        </w:r>
        <w:r>
          <w:fldChar w:fldCharType="separate"/>
        </w:r>
        <w:r w:rsidR="00A10FB5">
          <w:rPr>
            <w:noProof/>
          </w:rPr>
          <w:t>10</w:t>
        </w:r>
        <w:r>
          <w:rPr>
            <w:noProof/>
          </w:rPr>
          <w:fldChar w:fldCharType="end"/>
        </w:r>
      </w:p>
    </w:sdtContent>
  </w:sdt>
  <w:p w:rsidR="001D69B6" w:rsidRDefault="001D6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EA" w:rsidRDefault="006539EA" w:rsidP="001D69B6">
      <w:pPr>
        <w:spacing w:after="0" w:line="240" w:lineRule="auto"/>
      </w:pPr>
      <w:r>
        <w:separator/>
      </w:r>
    </w:p>
  </w:footnote>
  <w:footnote w:type="continuationSeparator" w:id="0">
    <w:p w:rsidR="006539EA" w:rsidRDefault="006539EA" w:rsidP="001D6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B35AF"/>
    <w:multiLevelType w:val="multilevel"/>
    <w:tmpl w:val="1E286AD8"/>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MDA3NTc1Nje2NDZQ0lEKTi0uzszPAykwqgUAErS2QCwAAAA="/>
  </w:docVars>
  <w:rsids>
    <w:rsidRoot w:val="00D82EAE"/>
    <w:rsid w:val="001D69B6"/>
    <w:rsid w:val="002034CE"/>
    <w:rsid w:val="00294CFA"/>
    <w:rsid w:val="004328BC"/>
    <w:rsid w:val="006539EA"/>
    <w:rsid w:val="00874EB4"/>
    <w:rsid w:val="00A10FB5"/>
    <w:rsid w:val="00C6674C"/>
    <w:rsid w:val="00C85A3C"/>
    <w:rsid w:val="00D82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CE6D"/>
  <w15:chartTrackingRefBased/>
  <w15:docId w15:val="{C4DF7C9F-BD95-42A4-A59F-73D2F2C3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B6"/>
  </w:style>
  <w:style w:type="paragraph" w:styleId="Footer">
    <w:name w:val="footer"/>
    <w:basedOn w:val="Normal"/>
    <w:link w:val="FooterChar"/>
    <w:uiPriority w:val="99"/>
    <w:unhideWhenUsed/>
    <w:rsid w:val="001D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B6"/>
  </w:style>
  <w:style w:type="character" w:styleId="LineNumber">
    <w:name w:val="line number"/>
    <w:basedOn w:val="DefaultParagraphFont"/>
    <w:uiPriority w:val="99"/>
    <w:semiHidden/>
    <w:unhideWhenUsed/>
    <w:rsid w:val="001D69B6"/>
  </w:style>
  <w:style w:type="table" w:customStyle="1" w:styleId="ListTable6Colorful1111">
    <w:name w:val="List Table 6 Colorful1111"/>
    <w:basedOn w:val="TableNormal"/>
    <w:uiPriority w:val="51"/>
    <w:rsid w:val="00C6674C"/>
    <w:pPr>
      <w:spacing w:after="0" w:line="240" w:lineRule="auto"/>
    </w:pPr>
    <w:rPr>
      <w:rFonts w:ascii="Times New Roman" w:eastAsia="Calibri" w:hAnsi="Times New Roman" w:cs="Times New Roman"/>
      <w:color w:val="000000"/>
      <w:sz w:val="24"/>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tools/primer-bl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EC52-D125-4B6B-803E-C1D2ADBF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Noorossadat Seyyedi</dc:creator>
  <cp:keywords/>
  <dc:description/>
  <cp:lastModifiedBy>Noorossadat Seyyedi</cp:lastModifiedBy>
  <cp:revision>7</cp:revision>
  <dcterms:created xsi:type="dcterms:W3CDTF">2019-09-15T07:21:00Z</dcterms:created>
  <dcterms:modified xsi:type="dcterms:W3CDTF">2019-09-16T04:40:00Z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http://www.zotero.org/styles/acs-combinatorial-science</vt:lpwstr>
  </property>
  <property fmtid="{D5CDD505-2E9C-101B-9397-08002B2CF9AE}" pid="3" name="Mendeley Recent Style Name 0_1">
    <vt:lpwstr>ACS Combinatorial Science</vt:lpwstr>
  </property>
  <property fmtid="{D5CDD505-2E9C-101B-9397-08002B2CF9AE}" pid="4" name="Mendeley Recent Style Id 1_1">
    <vt:lpwstr>http://www.zotero.org/styles/american-chemical-society</vt:lpwstr>
  </property>
  <property fmtid="{D5CDD505-2E9C-101B-9397-08002B2CF9AE}" pid="5" name="Mendeley Recent Style Name 1_1">
    <vt:lpwstr>American Chemical Society</vt:lpwstr>
  </property>
  <property fmtid="{D5CDD505-2E9C-101B-9397-08002B2CF9AE}" pid="6" name="Mendeley Recent Style Id 2_1">
    <vt:lpwstr>http://csl.mendeley.com/styles/532976591/BeilsteinJournalofNanotechnology</vt:lpwstr>
  </property>
  <property fmtid="{D5CDD505-2E9C-101B-9397-08002B2CF9AE}" pid="7" name="Mendeley Recent Style Name 2_1">
    <vt:lpwstr>American Chemical Society - Noorossadat Seyyedi</vt:lpwstr>
  </property>
  <property fmtid="{D5CDD505-2E9C-101B-9397-08002B2CF9AE}" pid="8" name="Mendeley Recent Style Id 3_1">
    <vt:lpwstr>http://csl.mendeley.com/styles/532976591/Beilstein-Journal-of-Nanotechnology</vt:lpwstr>
  </property>
  <property fmtid="{D5CDD505-2E9C-101B-9397-08002B2CF9AE}" pid="9" name="Mendeley Recent Style Name 3_1">
    <vt:lpwstr>American Chemical Society - Noorossadat Seyyedi</vt:lpwstr>
  </property>
  <property fmtid="{D5CDD505-2E9C-101B-9397-08002B2CF9AE}" pid="10" name="Mendeley Recent Style Id 4_1">
    <vt:lpwstr>http://www.zotero.org/styles/journal-of-autoimmunity</vt:lpwstr>
  </property>
  <property fmtid="{D5CDD505-2E9C-101B-9397-08002B2CF9AE}" pid="11" name="Mendeley Recent Style Name 4_1">
    <vt:lpwstr>Journal of Autoimmunity</vt:lpwstr>
  </property>
  <property fmtid="{D5CDD505-2E9C-101B-9397-08002B2CF9AE}" pid="12" name="Mendeley Recent Style Id 5_1">
    <vt:lpwstr>http://www.zotero.org/styles/journal-of-nanobiotechnology</vt:lpwstr>
  </property>
  <property fmtid="{D5CDD505-2E9C-101B-9397-08002B2CF9AE}" pid="13" name="Mendeley Recent Style Name 5_1">
    <vt:lpwstr>Journal of Nanobiotechnology</vt:lpwstr>
  </property>
  <property fmtid="{D5CDD505-2E9C-101B-9397-08002B2CF9AE}" pid="14" name="Mendeley Recent Style Id 6_1">
    <vt:lpwstr>http://www.zotero.org/styles/journal-of-virological-methods</vt:lpwstr>
  </property>
  <property fmtid="{D5CDD505-2E9C-101B-9397-08002B2CF9AE}" pid="15" name="Mendeley Recent Style Name 6_1">
    <vt:lpwstr>Journal of Virological Methods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faffa445-89bb-3915-adef-dcb8663e0884</vt:lpwstr>
  </property>
  <property fmtid="{D5CDD505-2E9C-101B-9397-08002B2CF9AE}" pid="24" name="Mendeley Citation Style_1">
    <vt:lpwstr>http://csl.mendeley.com/styles/532976591/Beilstein-Journal-of-Nanotechnology</vt:lpwstr>
  </property>
</Properties>
</file>